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843"/>
        <w:gridCol w:w="4536"/>
        <w:gridCol w:w="1508"/>
      </w:tblGrid>
      <w:tr w:rsidR="004E3E32" w:rsidRPr="00624B92" w14:paraId="7F3BD901" w14:textId="77777777" w:rsidTr="004E3E32">
        <w:tc>
          <w:tcPr>
            <w:tcW w:w="9016" w:type="dxa"/>
            <w:gridSpan w:val="4"/>
          </w:tcPr>
          <w:p w14:paraId="169C24C8" w14:textId="5D74783F" w:rsidR="004E3E32" w:rsidRPr="00624B92" w:rsidRDefault="00E4745B">
            <w:r w:rsidRPr="000A1D31">
              <w:rPr>
                <w:noProof/>
              </w:rPr>
              <w:drawing>
                <wp:anchor distT="0" distB="0" distL="114300" distR="114300" simplePos="0" relativeHeight="251659264" behindDoc="1" locked="0" layoutInCell="1" allowOverlap="1" wp14:anchorId="6C0F21CD" wp14:editId="154AF204">
                  <wp:simplePos x="0" y="0"/>
                  <wp:positionH relativeFrom="column">
                    <wp:posOffset>0</wp:posOffset>
                  </wp:positionH>
                  <wp:positionV relativeFrom="paragraph">
                    <wp:posOffset>42817</wp:posOffset>
                  </wp:positionV>
                  <wp:extent cx="2996565" cy="1347470"/>
                  <wp:effectExtent l="0" t="0" r="0" b="5080"/>
                  <wp:wrapTight wrapText="bothSides">
                    <wp:wrapPolygon edited="0">
                      <wp:start x="0" y="0"/>
                      <wp:lineTo x="0" y="21376"/>
                      <wp:lineTo x="21421" y="21376"/>
                      <wp:lineTo x="21421" y="0"/>
                      <wp:lineTo x="0" y="0"/>
                    </wp:wrapPolygon>
                  </wp:wrapTight>
                  <wp:docPr id="255235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35705" name=""/>
                          <pic:cNvPicPr/>
                        </pic:nvPicPr>
                        <pic:blipFill>
                          <a:blip r:embed="rId7">
                            <a:extLst>
                              <a:ext uri="{28A0092B-C50C-407E-A947-70E740481C1C}">
                                <a14:useLocalDpi xmlns:a14="http://schemas.microsoft.com/office/drawing/2010/main" val="0"/>
                              </a:ext>
                            </a:extLst>
                          </a:blip>
                          <a:stretch>
                            <a:fillRect/>
                          </a:stretch>
                        </pic:blipFill>
                        <pic:spPr>
                          <a:xfrm>
                            <a:off x="0" y="0"/>
                            <a:ext cx="2996565" cy="1347470"/>
                          </a:xfrm>
                          <a:prstGeom prst="rect">
                            <a:avLst/>
                          </a:prstGeom>
                        </pic:spPr>
                      </pic:pic>
                    </a:graphicData>
                  </a:graphic>
                  <wp14:sizeRelH relativeFrom="page">
                    <wp14:pctWidth>0</wp14:pctWidth>
                  </wp14:sizeRelH>
                  <wp14:sizeRelV relativeFrom="page">
                    <wp14:pctHeight>0</wp14:pctHeight>
                  </wp14:sizeRelV>
                </wp:anchor>
              </w:drawing>
            </w:r>
          </w:p>
        </w:tc>
      </w:tr>
      <w:tr w:rsidR="004E3E32" w:rsidRPr="00624B92" w14:paraId="5F46D56B" w14:textId="77777777" w:rsidTr="004E3E32">
        <w:tc>
          <w:tcPr>
            <w:tcW w:w="9016" w:type="dxa"/>
            <w:gridSpan w:val="4"/>
          </w:tcPr>
          <w:p w14:paraId="3600FF17" w14:textId="77777777" w:rsidR="004E3E32" w:rsidRPr="00624B92" w:rsidRDefault="004E3E32" w:rsidP="004E3E32">
            <w:pPr>
              <w:pStyle w:val="Title"/>
            </w:pPr>
          </w:p>
        </w:tc>
      </w:tr>
      <w:tr w:rsidR="004E3E32" w:rsidRPr="00624B92" w14:paraId="4C81DCF6" w14:textId="77777777" w:rsidTr="004E3E32">
        <w:tc>
          <w:tcPr>
            <w:tcW w:w="9016" w:type="dxa"/>
            <w:gridSpan w:val="4"/>
          </w:tcPr>
          <w:p w14:paraId="3A994D96" w14:textId="7D266053" w:rsidR="00420D56" w:rsidRPr="00624B92" w:rsidRDefault="004E3E32" w:rsidP="00AB158F">
            <w:pPr>
              <w:pStyle w:val="Title"/>
              <w:rPr>
                <w:rStyle w:val="Emphasis"/>
                <w:i w:val="0"/>
                <w:iCs w:val="0"/>
              </w:rPr>
            </w:pPr>
            <w:r w:rsidRPr="00624B92">
              <w:t>GDG</w:t>
            </w:r>
            <w:r w:rsidR="00E4745B">
              <w:t xml:space="preserve"> USA</w:t>
            </w:r>
            <w:r w:rsidRPr="00624B92">
              <w:t xml:space="preserve"> </w:t>
            </w:r>
            <w:r w:rsidR="00E4745B">
              <w:t>D</w:t>
            </w:r>
            <w:r w:rsidR="00E4745B" w:rsidRPr="00E4745B">
              <w:t xml:space="preserve">ocument </w:t>
            </w:r>
            <w:r w:rsidR="00E4745B">
              <w:t>R</w:t>
            </w:r>
            <w:r w:rsidR="00E4745B" w:rsidRPr="00E4745B">
              <w:t xml:space="preserve">etention and </w:t>
            </w:r>
            <w:r w:rsidR="00E4745B">
              <w:t>D</w:t>
            </w:r>
            <w:r w:rsidR="00E4745B" w:rsidRPr="00E4745B">
              <w:t>estruction</w:t>
            </w:r>
            <w:r w:rsidR="0091405F" w:rsidRPr="00624B92">
              <w:t xml:space="preserve"> Policy </w:t>
            </w:r>
          </w:p>
          <w:p w14:paraId="67F75064" w14:textId="5A4865E3" w:rsidR="0091405F" w:rsidRPr="00624B92" w:rsidRDefault="0091405F" w:rsidP="0091405F">
            <w:pPr>
              <w:rPr>
                <w:i/>
                <w:iCs/>
              </w:rPr>
            </w:pPr>
            <w:r w:rsidRPr="00624B92">
              <w:rPr>
                <w:i/>
                <w:iCs/>
              </w:rPr>
              <w:t xml:space="preserve">Establishing and maintaining a policy and procedure on record keeping that covers how </w:t>
            </w:r>
            <w:r w:rsidR="00E4745B">
              <w:rPr>
                <w:i/>
                <w:iCs/>
              </w:rPr>
              <w:t xml:space="preserve">long </w:t>
            </w:r>
            <w:r w:rsidRPr="00624B92">
              <w:rPr>
                <w:i/>
                <w:iCs/>
              </w:rPr>
              <w:t>records are kept, how they are secured, who is responsible</w:t>
            </w:r>
            <w:r w:rsidR="00E4745B">
              <w:rPr>
                <w:i/>
                <w:iCs/>
              </w:rPr>
              <w:t>, and when they are destroyed.</w:t>
            </w:r>
          </w:p>
          <w:p w14:paraId="5530CEFF" w14:textId="77777777" w:rsidR="00420D56" w:rsidRPr="00624B92" w:rsidRDefault="00420D56">
            <w:pPr>
              <w:rPr>
                <w:rStyle w:val="Emphasis"/>
              </w:rPr>
            </w:pPr>
          </w:p>
        </w:tc>
      </w:tr>
      <w:tr w:rsidR="004E3E32" w:rsidRPr="00624B92" w14:paraId="71120C8C" w14:textId="77777777" w:rsidTr="004E3E32">
        <w:tc>
          <w:tcPr>
            <w:tcW w:w="9016" w:type="dxa"/>
            <w:gridSpan w:val="4"/>
          </w:tcPr>
          <w:p w14:paraId="2D06986B" w14:textId="77777777" w:rsidR="004E3E32" w:rsidRPr="00624B92" w:rsidRDefault="004E3E32"/>
        </w:tc>
      </w:tr>
      <w:tr w:rsidR="004E3E32" w:rsidRPr="00624B92" w14:paraId="0C91B684" w14:textId="77777777" w:rsidTr="004E3E32">
        <w:tc>
          <w:tcPr>
            <w:tcW w:w="9016" w:type="dxa"/>
            <w:gridSpan w:val="4"/>
            <w:tcBorders>
              <w:bottom w:val="single" w:sz="4" w:space="0" w:color="auto"/>
            </w:tcBorders>
          </w:tcPr>
          <w:p w14:paraId="5C78423B" w14:textId="77777777" w:rsidR="004E3E32" w:rsidRPr="00624B92" w:rsidRDefault="004E3E32" w:rsidP="004E3E32">
            <w:r w:rsidRPr="00624B92">
              <w:rPr>
                <w:b/>
              </w:rPr>
              <w:t>Document Control</w:t>
            </w:r>
          </w:p>
        </w:tc>
      </w:tr>
      <w:tr w:rsidR="004E3E32" w:rsidRPr="00624B92" w14:paraId="443D4262" w14:textId="77777777" w:rsidTr="004E3E32">
        <w:tc>
          <w:tcPr>
            <w:tcW w:w="2972" w:type="dxa"/>
            <w:gridSpan w:val="2"/>
            <w:tcBorders>
              <w:top w:val="single" w:sz="4" w:space="0" w:color="auto"/>
              <w:left w:val="single" w:sz="4" w:space="0" w:color="auto"/>
              <w:bottom w:val="single" w:sz="4" w:space="0" w:color="auto"/>
              <w:right w:val="single" w:sz="4" w:space="0" w:color="auto"/>
            </w:tcBorders>
          </w:tcPr>
          <w:p w14:paraId="4D139AB4" w14:textId="77777777" w:rsidR="004E3E32" w:rsidRPr="00624B92" w:rsidRDefault="004E3E32" w:rsidP="004E3E32">
            <w:r w:rsidRPr="00624B92">
              <w:t>Date Approved</w:t>
            </w:r>
          </w:p>
        </w:tc>
        <w:tc>
          <w:tcPr>
            <w:tcW w:w="6044" w:type="dxa"/>
            <w:gridSpan w:val="2"/>
            <w:tcBorders>
              <w:top w:val="single" w:sz="4" w:space="0" w:color="auto"/>
              <w:left w:val="single" w:sz="4" w:space="0" w:color="auto"/>
              <w:bottom w:val="single" w:sz="4" w:space="0" w:color="auto"/>
              <w:right w:val="single" w:sz="4" w:space="0" w:color="auto"/>
            </w:tcBorders>
          </w:tcPr>
          <w:p w14:paraId="0422C070" w14:textId="595C894F" w:rsidR="004E3E32" w:rsidRPr="00624B92" w:rsidRDefault="00E4745B" w:rsidP="004E3E32">
            <w:r>
              <w:t>12/16/2025</w:t>
            </w:r>
          </w:p>
        </w:tc>
      </w:tr>
      <w:tr w:rsidR="004E3E32" w:rsidRPr="00624B92" w14:paraId="22BC3941" w14:textId="77777777" w:rsidTr="004E3E32">
        <w:tc>
          <w:tcPr>
            <w:tcW w:w="2972" w:type="dxa"/>
            <w:gridSpan w:val="2"/>
            <w:tcBorders>
              <w:top w:val="single" w:sz="4" w:space="0" w:color="auto"/>
              <w:left w:val="single" w:sz="4" w:space="0" w:color="auto"/>
              <w:bottom w:val="single" w:sz="4" w:space="0" w:color="auto"/>
              <w:right w:val="single" w:sz="4" w:space="0" w:color="auto"/>
            </w:tcBorders>
          </w:tcPr>
          <w:p w14:paraId="7D287E31" w14:textId="77777777" w:rsidR="004E3E32" w:rsidRPr="00624B92" w:rsidRDefault="004E3E32" w:rsidP="004E3E32">
            <w:r w:rsidRPr="00624B92">
              <w:t>Approved By</w:t>
            </w:r>
          </w:p>
        </w:tc>
        <w:tc>
          <w:tcPr>
            <w:tcW w:w="6044" w:type="dxa"/>
            <w:gridSpan w:val="2"/>
            <w:tcBorders>
              <w:top w:val="single" w:sz="4" w:space="0" w:color="auto"/>
              <w:left w:val="single" w:sz="4" w:space="0" w:color="auto"/>
              <w:bottom w:val="single" w:sz="4" w:space="0" w:color="auto"/>
              <w:right w:val="single" w:sz="4" w:space="0" w:color="auto"/>
            </w:tcBorders>
          </w:tcPr>
          <w:p w14:paraId="157E20C7" w14:textId="2B0D939F" w:rsidR="004E3E32" w:rsidRPr="00624B92" w:rsidRDefault="005D1EDB" w:rsidP="00093EF9">
            <w:r w:rsidRPr="00624B92">
              <w:t>Brenda Pearson</w:t>
            </w:r>
          </w:p>
        </w:tc>
      </w:tr>
      <w:tr w:rsidR="004E3E32" w:rsidRPr="00624B92" w14:paraId="383C552B" w14:textId="77777777" w:rsidTr="004E3E32">
        <w:tc>
          <w:tcPr>
            <w:tcW w:w="2972" w:type="dxa"/>
            <w:gridSpan w:val="2"/>
            <w:tcBorders>
              <w:top w:val="single" w:sz="4" w:space="0" w:color="auto"/>
              <w:left w:val="single" w:sz="4" w:space="0" w:color="auto"/>
              <w:bottom w:val="single" w:sz="4" w:space="0" w:color="auto"/>
              <w:right w:val="single" w:sz="4" w:space="0" w:color="auto"/>
            </w:tcBorders>
          </w:tcPr>
          <w:p w14:paraId="29ED269D" w14:textId="77777777" w:rsidR="004E3E32" w:rsidRPr="00624B92" w:rsidRDefault="004E3E32" w:rsidP="004E3E32">
            <w:r w:rsidRPr="00624B92">
              <w:t>Revision Number</w:t>
            </w:r>
          </w:p>
        </w:tc>
        <w:tc>
          <w:tcPr>
            <w:tcW w:w="6044" w:type="dxa"/>
            <w:gridSpan w:val="2"/>
            <w:tcBorders>
              <w:top w:val="single" w:sz="4" w:space="0" w:color="auto"/>
              <w:left w:val="single" w:sz="4" w:space="0" w:color="auto"/>
              <w:bottom w:val="single" w:sz="4" w:space="0" w:color="auto"/>
              <w:right w:val="single" w:sz="4" w:space="0" w:color="auto"/>
            </w:tcBorders>
          </w:tcPr>
          <w:p w14:paraId="09EF3120" w14:textId="4F5DACD2" w:rsidR="004E3E32" w:rsidRPr="00624B92" w:rsidRDefault="00E4745B" w:rsidP="001B639C">
            <w:r>
              <w:t>0</w:t>
            </w:r>
          </w:p>
        </w:tc>
      </w:tr>
      <w:tr w:rsidR="004E3E32" w:rsidRPr="00624B92" w14:paraId="0B4EF0CC" w14:textId="77777777" w:rsidTr="004E3E32">
        <w:tc>
          <w:tcPr>
            <w:tcW w:w="2972" w:type="dxa"/>
            <w:gridSpan w:val="2"/>
            <w:tcBorders>
              <w:top w:val="single" w:sz="4" w:space="0" w:color="auto"/>
              <w:left w:val="single" w:sz="4" w:space="0" w:color="auto"/>
              <w:bottom w:val="single" w:sz="4" w:space="0" w:color="auto"/>
              <w:right w:val="single" w:sz="4" w:space="0" w:color="auto"/>
            </w:tcBorders>
          </w:tcPr>
          <w:p w14:paraId="7D9C2377" w14:textId="77777777" w:rsidR="004E3E32" w:rsidRPr="00624B92" w:rsidRDefault="004E3E32" w:rsidP="004E3E32">
            <w:r w:rsidRPr="00624B92">
              <w:t>Status</w:t>
            </w:r>
          </w:p>
        </w:tc>
        <w:tc>
          <w:tcPr>
            <w:tcW w:w="6044" w:type="dxa"/>
            <w:gridSpan w:val="2"/>
            <w:tcBorders>
              <w:top w:val="single" w:sz="4" w:space="0" w:color="auto"/>
              <w:left w:val="single" w:sz="4" w:space="0" w:color="auto"/>
              <w:bottom w:val="single" w:sz="4" w:space="0" w:color="auto"/>
              <w:right w:val="single" w:sz="4" w:space="0" w:color="auto"/>
            </w:tcBorders>
          </w:tcPr>
          <w:p w14:paraId="6A098C0E" w14:textId="13D1B543" w:rsidR="004E3E32" w:rsidRPr="00624B92" w:rsidRDefault="005D1EDB" w:rsidP="00093EF9">
            <w:r w:rsidRPr="00624B92">
              <w:t xml:space="preserve">Current </w:t>
            </w:r>
          </w:p>
        </w:tc>
      </w:tr>
      <w:tr w:rsidR="004E3E32" w:rsidRPr="00624B92" w14:paraId="1C7509F5" w14:textId="77777777" w:rsidTr="004E3E32">
        <w:tc>
          <w:tcPr>
            <w:tcW w:w="2972" w:type="dxa"/>
            <w:gridSpan w:val="2"/>
            <w:tcBorders>
              <w:top w:val="single" w:sz="4" w:space="0" w:color="auto"/>
              <w:left w:val="single" w:sz="4" w:space="0" w:color="auto"/>
              <w:bottom w:val="single" w:sz="4" w:space="0" w:color="auto"/>
              <w:right w:val="single" w:sz="4" w:space="0" w:color="auto"/>
            </w:tcBorders>
          </w:tcPr>
          <w:p w14:paraId="6E787150" w14:textId="77777777" w:rsidR="004E3E32" w:rsidRPr="00624B92" w:rsidRDefault="004E3E32" w:rsidP="004E3E32">
            <w:r w:rsidRPr="00624B92">
              <w:t>Next Review Date</w:t>
            </w:r>
          </w:p>
        </w:tc>
        <w:tc>
          <w:tcPr>
            <w:tcW w:w="6044" w:type="dxa"/>
            <w:gridSpan w:val="2"/>
            <w:tcBorders>
              <w:top w:val="single" w:sz="4" w:space="0" w:color="auto"/>
              <w:left w:val="single" w:sz="4" w:space="0" w:color="auto"/>
              <w:bottom w:val="single" w:sz="4" w:space="0" w:color="auto"/>
              <w:right w:val="single" w:sz="4" w:space="0" w:color="auto"/>
            </w:tcBorders>
          </w:tcPr>
          <w:p w14:paraId="1D9FF48A" w14:textId="3CBACCE1" w:rsidR="004E3E32" w:rsidRPr="00624B92" w:rsidRDefault="00E4745B" w:rsidP="00C550F6">
            <w:r>
              <w:t>August 2026</w:t>
            </w:r>
          </w:p>
        </w:tc>
      </w:tr>
      <w:tr w:rsidR="004E3E32" w:rsidRPr="00624B92" w14:paraId="4A321E04" w14:textId="77777777" w:rsidTr="004E3E32">
        <w:tc>
          <w:tcPr>
            <w:tcW w:w="9016" w:type="dxa"/>
            <w:gridSpan w:val="4"/>
            <w:tcBorders>
              <w:top w:val="single" w:sz="4" w:space="0" w:color="auto"/>
            </w:tcBorders>
          </w:tcPr>
          <w:p w14:paraId="510BBBD8" w14:textId="77777777" w:rsidR="004E3E32" w:rsidRPr="00624B92" w:rsidRDefault="004E3E32" w:rsidP="004E3E32">
            <w:pPr>
              <w:jc w:val="center"/>
            </w:pPr>
          </w:p>
        </w:tc>
      </w:tr>
      <w:tr w:rsidR="004E3E32" w:rsidRPr="00624B92" w14:paraId="13107276" w14:textId="77777777" w:rsidTr="004E3E32">
        <w:tc>
          <w:tcPr>
            <w:tcW w:w="9016" w:type="dxa"/>
            <w:gridSpan w:val="4"/>
          </w:tcPr>
          <w:p w14:paraId="7FB66367" w14:textId="77777777" w:rsidR="004E3E32" w:rsidRPr="00624B92" w:rsidRDefault="004E3E32" w:rsidP="004E3E32">
            <w:r w:rsidRPr="00624B92">
              <w:rPr>
                <w:b/>
              </w:rPr>
              <w:t>File Location</w:t>
            </w:r>
          </w:p>
        </w:tc>
      </w:tr>
      <w:tr w:rsidR="004E3E32" w:rsidRPr="00624B92" w14:paraId="06185EA3" w14:textId="77777777" w:rsidTr="004E3E32">
        <w:trPr>
          <w:trHeight w:val="198"/>
        </w:trPr>
        <w:tc>
          <w:tcPr>
            <w:tcW w:w="9016" w:type="dxa"/>
            <w:gridSpan w:val="4"/>
          </w:tcPr>
          <w:p w14:paraId="4A96CE44" w14:textId="371ACA30" w:rsidR="002C2D28" w:rsidRDefault="00E4745B" w:rsidP="002C2D28">
            <w:r>
              <w:t>C</w:t>
            </w:r>
            <w:r w:rsidRPr="00C75018">
              <w:t>:\</w:t>
            </w:r>
            <w:r>
              <w:t>GDG Taxes</w:t>
            </w:r>
            <w:r w:rsidRPr="00C75018">
              <w:t>\</w:t>
            </w:r>
            <w:r>
              <w:t>Legal</w:t>
            </w:r>
            <w:r w:rsidRPr="00C75018">
              <w:t>\</w:t>
            </w:r>
            <w:r w:rsidR="007B1355">
              <w:t>Policies\</w:t>
            </w:r>
            <w:r>
              <w:t>GDG USA Document Retention Policy</w:t>
            </w:r>
            <w:r w:rsidRPr="00624B92">
              <w:t xml:space="preserve"> </w:t>
            </w:r>
          </w:p>
          <w:p w14:paraId="2491BD50" w14:textId="7E97C92F" w:rsidR="00E4745B" w:rsidRPr="00624B92" w:rsidRDefault="00E4745B" w:rsidP="002C2D28"/>
        </w:tc>
      </w:tr>
      <w:tr w:rsidR="004E3E32" w:rsidRPr="00624B92" w14:paraId="63B7DCCA" w14:textId="77777777" w:rsidTr="004E3E32">
        <w:tc>
          <w:tcPr>
            <w:tcW w:w="9016" w:type="dxa"/>
            <w:gridSpan w:val="4"/>
            <w:tcBorders>
              <w:bottom w:val="single" w:sz="4" w:space="0" w:color="auto"/>
            </w:tcBorders>
          </w:tcPr>
          <w:p w14:paraId="6FF34C02" w14:textId="77777777" w:rsidR="004E3E32" w:rsidRPr="00624B92" w:rsidRDefault="004E3E32" w:rsidP="004E3E32">
            <w:r w:rsidRPr="00624B92">
              <w:rPr>
                <w:b/>
              </w:rPr>
              <w:t>Revision History</w:t>
            </w:r>
          </w:p>
        </w:tc>
      </w:tr>
      <w:tr w:rsidR="004E3E32" w:rsidRPr="00624B92" w14:paraId="335BE204" w14:textId="77777777" w:rsidTr="004E3E32">
        <w:tc>
          <w:tcPr>
            <w:tcW w:w="1129" w:type="dxa"/>
            <w:tcBorders>
              <w:top w:val="single" w:sz="4" w:space="0" w:color="auto"/>
              <w:left w:val="single" w:sz="4" w:space="0" w:color="auto"/>
              <w:bottom w:val="single" w:sz="4" w:space="0" w:color="auto"/>
              <w:right w:val="single" w:sz="4" w:space="0" w:color="auto"/>
            </w:tcBorders>
          </w:tcPr>
          <w:p w14:paraId="1F9E1929" w14:textId="77777777" w:rsidR="004E3E32" w:rsidRPr="00624B92" w:rsidRDefault="004E3E32" w:rsidP="004E3E32">
            <w:pPr>
              <w:widowControl w:val="0"/>
              <w:pBdr>
                <w:top w:val="nil"/>
                <w:left w:val="nil"/>
                <w:bottom w:val="nil"/>
                <w:right w:val="nil"/>
                <w:between w:val="nil"/>
              </w:pBdr>
            </w:pPr>
            <w:r w:rsidRPr="00624B92">
              <w:t>Date</w:t>
            </w:r>
          </w:p>
        </w:tc>
        <w:tc>
          <w:tcPr>
            <w:tcW w:w="1843" w:type="dxa"/>
            <w:tcBorders>
              <w:top w:val="single" w:sz="4" w:space="0" w:color="auto"/>
              <w:left w:val="single" w:sz="4" w:space="0" w:color="auto"/>
              <w:bottom w:val="single" w:sz="4" w:space="0" w:color="auto"/>
              <w:right w:val="single" w:sz="4" w:space="0" w:color="auto"/>
            </w:tcBorders>
          </w:tcPr>
          <w:p w14:paraId="0F380354" w14:textId="77777777" w:rsidR="004E3E32" w:rsidRPr="00624B92" w:rsidRDefault="004E3E32" w:rsidP="004E3E32">
            <w:pPr>
              <w:widowControl w:val="0"/>
              <w:pBdr>
                <w:top w:val="nil"/>
                <w:left w:val="nil"/>
                <w:bottom w:val="nil"/>
                <w:right w:val="nil"/>
                <w:between w:val="nil"/>
              </w:pBdr>
            </w:pPr>
            <w:r w:rsidRPr="00624B92">
              <w:t>Revision Number</w:t>
            </w:r>
          </w:p>
        </w:tc>
        <w:tc>
          <w:tcPr>
            <w:tcW w:w="4536" w:type="dxa"/>
            <w:tcBorders>
              <w:top w:val="single" w:sz="4" w:space="0" w:color="auto"/>
              <w:left w:val="single" w:sz="4" w:space="0" w:color="auto"/>
              <w:bottom w:val="single" w:sz="4" w:space="0" w:color="auto"/>
              <w:right w:val="single" w:sz="4" w:space="0" w:color="auto"/>
            </w:tcBorders>
          </w:tcPr>
          <w:p w14:paraId="72E4614A" w14:textId="77777777" w:rsidR="004E3E32" w:rsidRPr="00624B92" w:rsidRDefault="004E3E32" w:rsidP="004E3E32">
            <w:pPr>
              <w:widowControl w:val="0"/>
              <w:pBdr>
                <w:top w:val="nil"/>
                <w:left w:val="nil"/>
                <w:bottom w:val="nil"/>
                <w:right w:val="nil"/>
                <w:between w:val="nil"/>
              </w:pBdr>
            </w:pPr>
            <w:r w:rsidRPr="00624B92">
              <w:t>Change(s)</w:t>
            </w:r>
          </w:p>
        </w:tc>
        <w:tc>
          <w:tcPr>
            <w:tcW w:w="1508" w:type="dxa"/>
            <w:tcBorders>
              <w:top w:val="single" w:sz="4" w:space="0" w:color="auto"/>
              <w:left w:val="single" w:sz="4" w:space="0" w:color="auto"/>
              <w:bottom w:val="single" w:sz="4" w:space="0" w:color="auto"/>
              <w:right w:val="single" w:sz="4" w:space="0" w:color="auto"/>
            </w:tcBorders>
          </w:tcPr>
          <w:p w14:paraId="3E75416E" w14:textId="77777777" w:rsidR="004E3E32" w:rsidRPr="00624B92" w:rsidRDefault="004E3E32" w:rsidP="004E3E32">
            <w:pPr>
              <w:widowControl w:val="0"/>
              <w:pBdr>
                <w:top w:val="nil"/>
                <w:left w:val="nil"/>
                <w:bottom w:val="nil"/>
                <w:right w:val="nil"/>
                <w:between w:val="nil"/>
              </w:pBdr>
            </w:pPr>
            <w:r w:rsidRPr="00624B92">
              <w:t>Section(s)</w:t>
            </w:r>
          </w:p>
        </w:tc>
      </w:tr>
      <w:tr w:rsidR="00F30146" w:rsidRPr="00624B92" w14:paraId="52E359B0" w14:textId="77777777" w:rsidTr="004E3E32">
        <w:tc>
          <w:tcPr>
            <w:tcW w:w="1129" w:type="dxa"/>
            <w:tcBorders>
              <w:top w:val="single" w:sz="4" w:space="0" w:color="auto"/>
              <w:left w:val="single" w:sz="4" w:space="0" w:color="auto"/>
              <w:bottom w:val="single" w:sz="4" w:space="0" w:color="auto"/>
              <w:right w:val="single" w:sz="4" w:space="0" w:color="auto"/>
            </w:tcBorders>
          </w:tcPr>
          <w:p w14:paraId="46CD5E14" w14:textId="1C4CD4D4" w:rsidR="00F30146" w:rsidRPr="00624B92" w:rsidRDefault="00F30146" w:rsidP="004E3E32"/>
        </w:tc>
        <w:tc>
          <w:tcPr>
            <w:tcW w:w="1843" w:type="dxa"/>
            <w:tcBorders>
              <w:top w:val="single" w:sz="4" w:space="0" w:color="auto"/>
              <w:left w:val="single" w:sz="4" w:space="0" w:color="auto"/>
              <w:bottom w:val="single" w:sz="4" w:space="0" w:color="auto"/>
              <w:right w:val="single" w:sz="4" w:space="0" w:color="auto"/>
            </w:tcBorders>
          </w:tcPr>
          <w:p w14:paraId="4F9F08EB" w14:textId="513FEBFB" w:rsidR="00F30146" w:rsidRPr="00624B92" w:rsidRDefault="00F30146" w:rsidP="004E3E32"/>
        </w:tc>
        <w:tc>
          <w:tcPr>
            <w:tcW w:w="4536" w:type="dxa"/>
            <w:tcBorders>
              <w:top w:val="single" w:sz="4" w:space="0" w:color="auto"/>
              <w:left w:val="single" w:sz="4" w:space="0" w:color="auto"/>
              <w:bottom w:val="single" w:sz="4" w:space="0" w:color="auto"/>
              <w:right w:val="single" w:sz="4" w:space="0" w:color="auto"/>
            </w:tcBorders>
          </w:tcPr>
          <w:p w14:paraId="23260F8A" w14:textId="5969F745" w:rsidR="00F30146" w:rsidRPr="00624B92" w:rsidRDefault="00F30146" w:rsidP="004E3E32"/>
        </w:tc>
        <w:tc>
          <w:tcPr>
            <w:tcW w:w="1508" w:type="dxa"/>
            <w:tcBorders>
              <w:top w:val="single" w:sz="4" w:space="0" w:color="auto"/>
              <w:left w:val="single" w:sz="4" w:space="0" w:color="auto"/>
              <w:bottom w:val="single" w:sz="4" w:space="0" w:color="auto"/>
              <w:right w:val="single" w:sz="4" w:space="0" w:color="auto"/>
            </w:tcBorders>
          </w:tcPr>
          <w:p w14:paraId="062EF7C1" w14:textId="3538A6F6" w:rsidR="00F30146" w:rsidRPr="00624B92" w:rsidRDefault="00F30146" w:rsidP="004E3E32">
            <w:pPr>
              <w:jc w:val="center"/>
            </w:pPr>
          </w:p>
        </w:tc>
      </w:tr>
      <w:tr w:rsidR="004E3E32" w:rsidRPr="00624B92" w14:paraId="2AA5BDC0" w14:textId="77777777" w:rsidTr="004E3E32">
        <w:tc>
          <w:tcPr>
            <w:tcW w:w="1129" w:type="dxa"/>
            <w:tcBorders>
              <w:top w:val="single" w:sz="4" w:space="0" w:color="auto"/>
              <w:left w:val="single" w:sz="4" w:space="0" w:color="auto"/>
              <w:bottom w:val="single" w:sz="4" w:space="0" w:color="auto"/>
              <w:right w:val="single" w:sz="4" w:space="0" w:color="auto"/>
            </w:tcBorders>
          </w:tcPr>
          <w:p w14:paraId="66FA911D" w14:textId="650F1679" w:rsidR="004E3E32" w:rsidRPr="00624B92" w:rsidRDefault="004E3E32" w:rsidP="004E3E32"/>
        </w:tc>
        <w:tc>
          <w:tcPr>
            <w:tcW w:w="1843" w:type="dxa"/>
            <w:tcBorders>
              <w:top w:val="single" w:sz="4" w:space="0" w:color="auto"/>
              <w:left w:val="single" w:sz="4" w:space="0" w:color="auto"/>
              <w:bottom w:val="single" w:sz="4" w:space="0" w:color="auto"/>
              <w:right w:val="single" w:sz="4" w:space="0" w:color="auto"/>
            </w:tcBorders>
          </w:tcPr>
          <w:p w14:paraId="359DE153" w14:textId="303E6756" w:rsidR="004E3E32" w:rsidRPr="00624B92" w:rsidRDefault="004E3E32" w:rsidP="004E3E32"/>
        </w:tc>
        <w:tc>
          <w:tcPr>
            <w:tcW w:w="4536" w:type="dxa"/>
            <w:tcBorders>
              <w:top w:val="single" w:sz="4" w:space="0" w:color="auto"/>
              <w:left w:val="single" w:sz="4" w:space="0" w:color="auto"/>
              <w:bottom w:val="single" w:sz="4" w:space="0" w:color="auto"/>
              <w:right w:val="single" w:sz="4" w:space="0" w:color="auto"/>
            </w:tcBorders>
          </w:tcPr>
          <w:p w14:paraId="04D9F430" w14:textId="4A8D77EC" w:rsidR="004E3E32" w:rsidRPr="00624B92" w:rsidRDefault="004E3E32" w:rsidP="004E3E32"/>
        </w:tc>
        <w:tc>
          <w:tcPr>
            <w:tcW w:w="1508" w:type="dxa"/>
            <w:tcBorders>
              <w:top w:val="single" w:sz="4" w:space="0" w:color="auto"/>
              <w:left w:val="single" w:sz="4" w:space="0" w:color="auto"/>
              <w:bottom w:val="single" w:sz="4" w:space="0" w:color="auto"/>
              <w:right w:val="single" w:sz="4" w:space="0" w:color="auto"/>
            </w:tcBorders>
          </w:tcPr>
          <w:p w14:paraId="38799068" w14:textId="67AA6562" w:rsidR="004E3E32" w:rsidRPr="00624B92" w:rsidRDefault="004E3E32" w:rsidP="004E3E32">
            <w:pPr>
              <w:jc w:val="center"/>
            </w:pPr>
          </w:p>
        </w:tc>
      </w:tr>
      <w:tr w:rsidR="004E3E32" w:rsidRPr="00624B92" w14:paraId="1C9F766A" w14:textId="77777777" w:rsidTr="004E3E32">
        <w:tc>
          <w:tcPr>
            <w:tcW w:w="1129" w:type="dxa"/>
            <w:tcBorders>
              <w:top w:val="single" w:sz="4" w:space="0" w:color="auto"/>
              <w:left w:val="single" w:sz="4" w:space="0" w:color="auto"/>
              <w:bottom w:val="single" w:sz="4" w:space="0" w:color="auto"/>
              <w:right w:val="single" w:sz="4" w:space="0" w:color="auto"/>
            </w:tcBorders>
          </w:tcPr>
          <w:p w14:paraId="336D2BAB" w14:textId="250ACC5D" w:rsidR="004E3E32" w:rsidRPr="00624B92" w:rsidRDefault="004E3E32" w:rsidP="004E3E32"/>
        </w:tc>
        <w:tc>
          <w:tcPr>
            <w:tcW w:w="1843" w:type="dxa"/>
            <w:tcBorders>
              <w:top w:val="single" w:sz="4" w:space="0" w:color="auto"/>
              <w:left w:val="single" w:sz="4" w:space="0" w:color="auto"/>
              <w:bottom w:val="single" w:sz="4" w:space="0" w:color="auto"/>
              <w:right w:val="single" w:sz="4" w:space="0" w:color="auto"/>
            </w:tcBorders>
          </w:tcPr>
          <w:p w14:paraId="7E310C72" w14:textId="755A520E" w:rsidR="004E3E32" w:rsidRPr="00624B92" w:rsidRDefault="004E3E32" w:rsidP="004E3E32"/>
        </w:tc>
        <w:tc>
          <w:tcPr>
            <w:tcW w:w="4536" w:type="dxa"/>
            <w:tcBorders>
              <w:top w:val="single" w:sz="4" w:space="0" w:color="auto"/>
              <w:left w:val="single" w:sz="4" w:space="0" w:color="auto"/>
              <w:bottom w:val="single" w:sz="4" w:space="0" w:color="auto"/>
              <w:right w:val="single" w:sz="4" w:space="0" w:color="auto"/>
            </w:tcBorders>
          </w:tcPr>
          <w:p w14:paraId="3AB75CA3" w14:textId="0EDDFDB2" w:rsidR="004E3E32" w:rsidRPr="00624B92" w:rsidRDefault="004E3E32" w:rsidP="004E3E32"/>
        </w:tc>
        <w:tc>
          <w:tcPr>
            <w:tcW w:w="1508" w:type="dxa"/>
            <w:tcBorders>
              <w:top w:val="single" w:sz="4" w:space="0" w:color="auto"/>
              <w:left w:val="single" w:sz="4" w:space="0" w:color="auto"/>
              <w:bottom w:val="single" w:sz="4" w:space="0" w:color="auto"/>
              <w:right w:val="single" w:sz="4" w:space="0" w:color="auto"/>
            </w:tcBorders>
          </w:tcPr>
          <w:p w14:paraId="2769B05C" w14:textId="77777777" w:rsidR="004E3E32" w:rsidRPr="00624B92" w:rsidRDefault="004E3E32" w:rsidP="004E3E32">
            <w:pPr>
              <w:jc w:val="center"/>
            </w:pPr>
          </w:p>
        </w:tc>
      </w:tr>
      <w:tr w:rsidR="004E3E32" w:rsidRPr="00624B92" w14:paraId="45FEBEEC" w14:textId="77777777" w:rsidTr="004E3E32">
        <w:tc>
          <w:tcPr>
            <w:tcW w:w="1129" w:type="dxa"/>
            <w:tcBorders>
              <w:top w:val="single" w:sz="4" w:space="0" w:color="auto"/>
              <w:left w:val="single" w:sz="4" w:space="0" w:color="auto"/>
              <w:bottom w:val="single" w:sz="4" w:space="0" w:color="auto"/>
              <w:right w:val="single" w:sz="4" w:space="0" w:color="auto"/>
            </w:tcBorders>
          </w:tcPr>
          <w:p w14:paraId="2C8E94CE" w14:textId="687D7810" w:rsidR="004E3E32" w:rsidRPr="00624B92" w:rsidRDefault="004E3E32" w:rsidP="004E3E32"/>
        </w:tc>
        <w:tc>
          <w:tcPr>
            <w:tcW w:w="1843" w:type="dxa"/>
            <w:tcBorders>
              <w:top w:val="single" w:sz="4" w:space="0" w:color="auto"/>
              <w:left w:val="single" w:sz="4" w:space="0" w:color="auto"/>
              <w:bottom w:val="single" w:sz="4" w:space="0" w:color="auto"/>
              <w:right w:val="single" w:sz="4" w:space="0" w:color="auto"/>
            </w:tcBorders>
          </w:tcPr>
          <w:p w14:paraId="74EF6392" w14:textId="2BF170B4" w:rsidR="004E3E32" w:rsidRPr="00624B92" w:rsidRDefault="004E3E32" w:rsidP="004E3E32"/>
        </w:tc>
        <w:tc>
          <w:tcPr>
            <w:tcW w:w="4536" w:type="dxa"/>
            <w:tcBorders>
              <w:top w:val="single" w:sz="4" w:space="0" w:color="auto"/>
              <w:left w:val="single" w:sz="4" w:space="0" w:color="auto"/>
              <w:bottom w:val="single" w:sz="4" w:space="0" w:color="auto"/>
              <w:right w:val="single" w:sz="4" w:space="0" w:color="auto"/>
            </w:tcBorders>
          </w:tcPr>
          <w:p w14:paraId="1ECBD5D9" w14:textId="77777777" w:rsidR="004E3E32" w:rsidRPr="00624B92" w:rsidRDefault="004E3E32" w:rsidP="004E3E32"/>
        </w:tc>
        <w:tc>
          <w:tcPr>
            <w:tcW w:w="1508" w:type="dxa"/>
            <w:tcBorders>
              <w:top w:val="single" w:sz="4" w:space="0" w:color="auto"/>
              <w:left w:val="single" w:sz="4" w:space="0" w:color="auto"/>
              <w:bottom w:val="single" w:sz="4" w:space="0" w:color="auto"/>
              <w:right w:val="single" w:sz="4" w:space="0" w:color="auto"/>
            </w:tcBorders>
          </w:tcPr>
          <w:p w14:paraId="0CD79869" w14:textId="77777777" w:rsidR="004E3E32" w:rsidRPr="00624B92" w:rsidRDefault="004E3E32" w:rsidP="004E3E32">
            <w:pPr>
              <w:jc w:val="center"/>
            </w:pPr>
          </w:p>
        </w:tc>
      </w:tr>
      <w:tr w:rsidR="004E3E32" w:rsidRPr="00624B92" w14:paraId="6E860EFA" w14:textId="77777777" w:rsidTr="00420D56">
        <w:tc>
          <w:tcPr>
            <w:tcW w:w="1129" w:type="dxa"/>
            <w:tcBorders>
              <w:top w:val="single" w:sz="4" w:space="0" w:color="auto"/>
              <w:left w:val="single" w:sz="4" w:space="0" w:color="auto"/>
              <w:bottom w:val="single" w:sz="4" w:space="0" w:color="auto"/>
              <w:right w:val="single" w:sz="4" w:space="0" w:color="auto"/>
            </w:tcBorders>
          </w:tcPr>
          <w:p w14:paraId="58EF4836" w14:textId="6B4C837D" w:rsidR="004E3E32" w:rsidRPr="00624B92" w:rsidRDefault="004E3E32" w:rsidP="004E3E32"/>
        </w:tc>
        <w:tc>
          <w:tcPr>
            <w:tcW w:w="1843" w:type="dxa"/>
            <w:tcBorders>
              <w:top w:val="single" w:sz="4" w:space="0" w:color="auto"/>
              <w:left w:val="single" w:sz="4" w:space="0" w:color="auto"/>
              <w:bottom w:val="single" w:sz="4" w:space="0" w:color="auto"/>
              <w:right w:val="single" w:sz="4" w:space="0" w:color="auto"/>
            </w:tcBorders>
          </w:tcPr>
          <w:p w14:paraId="6EB22FB5" w14:textId="3073F360" w:rsidR="004E3E32" w:rsidRPr="00624B92" w:rsidRDefault="004E3E32" w:rsidP="004E3E32"/>
        </w:tc>
        <w:tc>
          <w:tcPr>
            <w:tcW w:w="4536" w:type="dxa"/>
            <w:tcBorders>
              <w:top w:val="single" w:sz="4" w:space="0" w:color="auto"/>
              <w:left w:val="single" w:sz="4" w:space="0" w:color="auto"/>
              <w:bottom w:val="single" w:sz="4" w:space="0" w:color="auto"/>
              <w:right w:val="single" w:sz="4" w:space="0" w:color="auto"/>
            </w:tcBorders>
          </w:tcPr>
          <w:p w14:paraId="44DD28C4" w14:textId="77777777" w:rsidR="004E3E32" w:rsidRPr="00624B92" w:rsidRDefault="004E3E32" w:rsidP="004E3E32"/>
        </w:tc>
        <w:tc>
          <w:tcPr>
            <w:tcW w:w="1508" w:type="dxa"/>
            <w:tcBorders>
              <w:top w:val="single" w:sz="4" w:space="0" w:color="auto"/>
              <w:left w:val="single" w:sz="4" w:space="0" w:color="auto"/>
              <w:bottom w:val="single" w:sz="4" w:space="0" w:color="auto"/>
              <w:right w:val="single" w:sz="4" w:space="0" w:color="auto"/>
            </w:tcBorders>
          </w:tcPr>
          <w:p w14:paraId="7371C456" w14:textId="77777777" w:rsidR="004E3E32" w:rsidRPr="00624B92" w:rsidRDefault="004E3E32" w:rsidP="004E3E32">
            <w:pPr>
              <w:jc w:val="center"/>
            </w:pPr>
          </w:p>
        </w:tc>
      </w:tr>
      <w:tr w:rsidR="00420D56" w:rsidRPr="00624B92" w14:paraId="63D0B6A9" w14:textId="77777777" w:rsidTr="00420D56">
        <w:tc>
          <w:tcPr>
            <w:tcW w:w="9016" w:type="dxa"/>
            <w:gridSpan w:val="4"/>
            <w:tcBorders>
              <w:top w:val="single" w:sz="4" w:space="0" w:color="auto"/>
            </w:tcBorders>
          </w:tcPr>
          <w:p w14:paraId="33767E1C" w14:textId="77777777" w:rsidR="00420D56" w:rsidRPr="00624B92" w:rsidRDefault="00420D56" w:rsidP="004E3E32">
            <w:pPr>
              <w:jc w:val="center"/>
            </w:pPr>
          </w:p>
        </w:tc>
      </w:tr>
    </w:tbl>
    <w:p w14:paraId="4F0AAA2F" w14:textId="77777777" w:rsidR="004E3E32" w:rsidRPr="00624B92" w:rsidRDefault="004E3E32" w:rsidP="00351FE2">
      <w:pPr>
        <w:pStyle w:val="ListParagraph"/>
      </w:pPr>
    </w:p>
    <w:p w14:paraId="672FBD17" w14:textId="77777777" w:rsidR="00420D56" w:rsidRPr="00624B92" w:rsidRDefault="00420D56"/>
    <w:p w14:paraId="2D760A67" w14:textId="77777777" w:rsidR="00F11FB3" w:rsidRPr="00624B92" w:rsidRDefault="00F11FB3"/>
    <w:p w14:paraId="6F9D0A30" w14:textId="4CF4C977" w:rsidR="000B6E17" w:rsidRPr="00624B92" w:rsidRDefault="000B6E17" w:rsidP="004E3E32">
      <w:pPr>
        <w:sectPr w:rsidR="000B6E17" w:rsidRPr="00624B92" w:rsidSect="00DF049C">
          <w:footerReference w:type="default" r:id="rId8"/>
          <w:pgSz w:w="11906" w:h="16838"/>
          <w:pgMar w:top="1134" w:right="1134" w:bottom="1134" w:left="1134" w:header="709" w:footer="624" w:gutter="0"/>
          <w:cols w:space="708"/>
          <w:docGrid w:linePitch="360"/>
        </w:sectPr>
      </w:pPr>
    </w:p>
    <w:p w14:paraId="769CBEF5" w14:textId="7B227A20" w:rsidR="00093EF9" w:rsidRPr="00624B92" w:rsidRDefault="0091405F" w:rsidP="00093EF9">
      <w:pPr>
        <w:pStyle w:val="Heading1"/>
      </w:pPr>
      <w:r w:rsidRPr="00624B92">
        <w:lastRenderedPageBreak/>
        <w:t>Purpose</w:t>
      </w:r>
    </w:p>
    <w:p w14:paraId="32966D76" w14:textId="24625501" w:rsidR="0091405F" w:rsidRPr="00624B92" w:rsidRDefault="00FA154E" w:rsidP="00FA154E">
      <w:pPr>
        <w:ind w:left="567"/>
      </w:pPr>
      <w:r w:rsidRPr="00FA154E">
        <w:rPr>
          <w:rFonts w:cs="Arial"/>
        </w:rPr>
        <w:t>Proper record retention not only ensures compliance with IRS regulations but also safeguards your ability to substantiate income, deductions, and credits if questioned. </w:t>
      </w:r>
    </w:p>
    <w:p w14:paraId="7DCD37C3" w14:textId="3FE6BEFB" w:rsidR="0091405F" w:rsidRPr="00624B92" w:rsidRDefault="00FA154E" w:rsidP="0091405F">
      <w:pPr>
        <w:pStyle w:val="Heading1"/>
      </w:pPr>
      <w:r>
        <w:t xml:space="preserve">Understanding </w:t>
      </w:r>
      <w:r w:rsidRPr="00FA154E">
        <w:rPr>
          <w:lang w:val="en-US"/>
        </w:rPr>
        <w:t>IRS Record Retention Periods</w:t>
      </w:r>
    </w:p>
    <w:p w14:paraId="503B1662" w14:textId="4AFFA201" w:rsidR="0091405F" w:rsidRPr="00624B92" w:rsidRDefault="00FA154E" w:rsidP="0091405F">
      <w:pPr>
        <w:pStyle w:val="Heading2"/>
      </w:pPr>
      <w:r>
        <w:t>General Rule</w:t>
      </w:r>
    </w:p>
    <w:p w14:paraId="40EB4824" w14:textId="77777777" w:rsidR="00FA154E" w:rsidRDefault="00FA154E" w:rsidP="00FA154E">
      <w:pPr>
        <w:ind w:left="357"/>
        <w:jc w:val="both"/>
        <w:rPr>
          <w:rFonts w:cs="Arial"/>
        </w:rPr>
      </w:pPr>
      <w:r w:rsidRPr="00FA154E">
        <w:rPr>
          <w:rFonts w:cs="Arial"/>
        </w:rPr>
        <w:t xml:space="preserve">The IRS recommends keeping tax records for at least three years from the date you file your return. This standard retention period aligns with the statute of limitations for most audits. This means that, in most cases, the IRS cannot audit you or assess additional taxes after this period has passed. </w:t>
      </w:r>
    </w:p>
    <w:p w14:paraId="43629DF7" w14:textId="32CD35C9" w:rsidR="00FA154E" w:rsidRDefault="00FA154E" w:rsidP="00FA154E">
      <w:pPr>
        <w:spacing w:after="0"/>
        <w:jc w:val="both"/>
        <w:rPr>
          <w:rFonts w:cs="Arial"/>
          <w:lang w:val="en-US"/>
        </w:rPr>
      </w:pPr>
      <w:r w:rsidRPr="00FA154E">
        <w:rPr>
          <w:rFonts w:cs="Arial"/>
          <w:b/>
          <w:bCs/>
          <w:lang w:val="en-US"/>
        </w:rPr>
        <w:t>Extended Periods:</w:t>
      </w:r>
      <w:r w:rsidRPr="00FA154E">
        <w:rPr>
          <w:rFonts w:cs="Arial"/>
          <w:lang w:val="en-US"/>
        </w:rPr>
        <w:t> Certain situations requir</w:t>
      </w:r>
      <w:r w:rsidR="00541540">
        <w:rPr>
          <w:rFonts w:cs="Arial"/>
          <w:lang w:val="en-US"/>
        </w:rPr>
        <w:t>ed</w:t>
      </w:r>
      <w:r w:rsidRPr="00FA154E">
        <w:rPr>
          <w:rFonts w:cs="Arial"/>
          <w:lang w:val="en-US"/>
        </w:rPr>
        <w:t xml:space="preserve"> to retain records for longer periods:</w:t>
      </w:r>
    </w:p>
    <w:p w14:paraId="3E957427" w14:textId="77777777" w:rsidR="00FA154E" w:rsidRPr="00FA154E" w:rsidRDefault="00FA154E" w:rsidP="00FA154E">
      <w:pPr>
        <w:spacing w:after="0"/>
        <w:jc w:val="both"/>
        <w:rPr>
          <w:rFonts w:cs="Arial"/>
          <w:lang w:val="en-US"/>
        </w:rPr>
      </w:pPr>
    </w:p>
    <w:p w14:paraId="3952EE23" w14:textId="2D0D4AA0" w:rsidR="00FA154E" w:rsidRPr="00FA154E" w:rsidRDefault="00FA154E" w:rsidP="00FA154E">
      <w:pPr>
        <w:pStyle w:val="ListParagraph"/>
        <w:numPr>
          <w:ilvl w:val="0"/>
          <w:numId w:val="27"/>
        </w:numPr>
        <w:spacing w:after="0"/>
        <w:jc w:val="both"/>
        <w:rPr>
          <w:rFonts w:cs="Arial"/>
          <w:lang w:val="en-US"/>
        </w:rPr>
      </w:pPr>
      <w:r w:rsidRPr="00FA154E">
        <w:rPr>
          <w:rFonts w:cs="Arial"/>
          <w:b/>
          <w:bCs/>
          <w:lang w:val="en-US"/>
        </w:rPr>
        <w:t>Six Years:</w:t>
      </w:r>
      <w:r w:rsidRPr="00FA154E">
        <w:rPr>
          <w:rFonts w:cs="Arial"/>
          <w:lang w:val="en-US"/>
        </w:rPr>
        <w:t> </w:t>
      </w:r>
      <w:r w:rsidR="00C524AC">
        <w:rPr>
          <w:rFonts w:cs="Arial"/>
          <w:lang w:val="en-US"/>
        </w:rPr>
        <w:t>U</w:t>
      </w:r>
      <w:r w:rsidRPr="00FA154E">
        <w:rPr>
          <w:rFonts w:cs="Arial"/>
          <w:lang w:val="en-US"/>
        </w:rPr>
        <w:t>nderreport</w:t>
      </w:r>
      <w:r w:rsidR="00C524AC">
        <w:rPr>
          <w:rFonts w:cs="Arial"/>
          <w:lang w:val="en-US"/>
        </w:rPr>
        <w:t xml:space="preserve">ed </w:t>
      </w:r>
      <w:r w:rsidRPr="00FA154E">
        <w:rPr>
          <w:rFonts w:cs="Arial"/>
          <w:lang w:val="en-US"/>
        </w:rPr>
        <w:t>income by more than 25%, the IRS has up to six years to initiate an audit. This situation might arise if a significant source of income, such as freelance work reported on a </w:t>
      </w:r>
      <w:hyperlink r:id="rId9" w:tgtFrame="_blank" w:history="1">
        <w:r w:rsidRPr="00FA154E">
          <w:rPr>
            <w:rStyle w:val="Hyperlink"/>
            <w:rFonts w:cs="Arial"/>
            <w:lang w:val="en-US"/>
          </w:rPr>
          <w:t>1099 form</w:t>
        </w:r>
      </w:hyperlink>
      <w:r w:rsidRPr="00FA154E">
        <w:rPr>
          <w:rFonts w:cs="Arial"/>
          <w:lang w:val="en-US"/>
        </w:rPr>
        <w:t>.</w:t>
      </w:r>
    </w:p>
    <w:p w14:paraId="3D8693A6" w14:textId="4EBF2B46" w:rsidR="00FA154E" w:rsidRPr="00FA154E" w:rsidRDefault="00FA154E" w:rsidP="00FA154E">
      <w:pPr>
        <w:pStyle w:val="ListParagraph"/>
        <w:numPr>
          <w:ilvl w:val="0"/>
          <w:numId w:val="27"/>
        </w:numPr>
        <w:spacing w:after="0"/>
        <w:jc w:val="both"/>
        <w:rPr>
          <w:rFonts w:cs="Arial"/>
          <w:lang w:val="en-US"/>
        </w:rPr>
      </w:pPr>
      <w:r w:rsidRPr="00FA154E">
        <w:rPr>
          <w:rFonts w:cs="Arial"/>
          <w:b/>
          <w:bCs/>
          <w:lang w:val="en-US"/>
        </w:rPr>
        <w:t>Indefinitely:</w:t>
      </w:r>
      <w:r w:rsidRPr="00FA154E">
        <w:rPr>
          <w:rFonts w:cs="Arial"/>
          <w:lang w:val="en-US"/>
        </w:rPr>
        <w:t xml:space="preserve"> If </w:t>
      </w:r>
      <w:r w:rsidR="00C524AC">
        <w:rPr>
          <w:rFonts w:cs="Arial"/>
          <w:lang w:val="en-US"/>
        </w:rPr>
        <w:t>there is</w:t>
      </w:r>
      <w:r w:rsidRPr="00FA154E">
        <w:rPr>
          <w:rFonts w:cs="Arial"/>
          <w:lang w:val="en-US"/>
        </w:rPr>
        <w:t xml:space="preserve"> a fraudulent return or </w:t>
      </w:r>
      <w:r w:rsidR="00C524AC">
        <w:rPr>
          <w:rFonts w:cs="Arial"/>
          <w:lang w:val="en-US"/>
        </w:rPr>
        <w:t xml:space="preserve">a </w:t>
      </w:r>
      <w:r w:rsidRPr="00FA154E">
        <w:rPr>
          <w:rFonts w:cs="Arial"/>
          <w:lang w:val="en-US"/>
        </w:rPr>
        <w:t>fail to file a return altogether, there is no time limit for an audit. Fraudulent filings and omissions are taken very seriously by the IRS and could lead to severe penalties.</w:t>
      </w:r>
    </w:p>
    <w:p w14:paraId="7D35564D" w14:textId="77777777" w:rsidR="0091405F" w:rsidRPr="00624B92" w:rsidRDefault="0091405F" w:rsidP="0091405F">
      <w:pPr>
        <w:pStyle w:val="ListParagraph"/>
        <w:spacing w:after="0" w:line="240" w:lineRule="auto"/>
        <w:ind w:left="1077"/>
        <w:jc w:val="both"/>
        <w:rPr>
          <w:rFonts w:cs="Arial"/>
        </w:rPr>
      </w:pPr>
    </w:p>
    <w:p w14:paraId="166D4F4C" w14:textId="04E1C09E" w:rsidR="00093EF9" w:rsidRPr="00624B92" w:rsidRDefault="00B305BB" w:rsidP="00093EF9">
      <w:pPr>
        <w:pStyle w:val="Heading1"/>
      </w:pPr>
      <w:r>
        <w:t>Specific Documents and Their Retention Periods</w:t>
      </w:r>
      <w:r w:rsidR="00351FE2" w:rsidRPr="00624B92">
        <w:t xml:space="preserve"> </w:t>
      </w:r>
    </w:p>
    <w:p w14:paraId="1E857A7A" w14:textId="77777777" w:rsidR="00B305BB" w:rsidRDefault="00B305BB" w:rsidP="00B305BB">
      <w:pPr>
        <w:pStyle w:val="StyleCalibriBoldBlueJustified"/>
        <w:numPr>
          <w:ilvl w:val="0"/>
          <w:numId w:val="33"/>
        </w:numPr>
        <w:rPr>
          <w:b w:val="0"/>
          <w:bCs w:val="0"/>
          <w:color w:val="auto"/>
          <w:lang w:val="en-US"/>
        </w:rPr>
      </w:pPr>
      <w:r w:rsidRPr="00B305BB">
        <w:rPr>
          <w:b w:val="0"/>
          <w:bCs w:val="0"/>
          <w:color w:val="auto"/>
          <w:lang w:val="en-US"/>
        </w:rPr>
        <w:t>Income Records:</w:t>
      </w:r>
    </w:p>
    <w:p w14:paraId="05C1A2A4" w14:textId="169E08AC" w:rsidR="00B305BB" w:rsidRPr="00B305BB" w:rsidRDefault="00B305BB" w:rsidP="00B305BB">
      <w:pPr>
        <w:pStyle w:val="StyleCalibriBoldBlueJustified"/>
        <w:numPr>
          <w:ilvl w:val="1"/>
          <w:numId w:val="33"/>
        </w:numPr>
        <w:rPr>
          <w:b w:val="0"/>
          <w:bCs w:val="0"/>
          <w:color w:val="auto"/>
          <w:lang w:val="en-US"/>
        </w:rPr>
      </w:pPr>
      <w:r w:rsidRPr="00B305BB">
        <w:rPr>
          <w:b w:val="0"/>
          <w:bCs w:val="0"/>
          <w:color w:val="auto"/>
          <w:lang w:val="en-US"/>
        </w:rPr>
        <w:t>Retain </w:t>
      </w:r>
      <w:hyperlink r:id="rId10" w:tgtFrame="_blank" w:history="1">
        <w:r w:rsidRPr="00B305BB">
          <w:rPr>
            <w:rStyle w:val="Hyperlink"/>
            <w:b w:val="0"/>
            <w:bCs w:val="0"/>
            <w:color w:val="auto"/>
            <w:lang w:val="en-US"/>
          </w:rPr>
          <w:t>W-2s</w:t>
        </w:r>
      </w:hyperlink>
      <w:r w:rsidRPr="00B305BB">
        <w:rPr>
          <w:b w:val="0"/>
          <w:bCs w:val="0"/>
          <w:color w:val="auto"/>
          <w:lang w:val="en-US"/>
        </w:rPr>
        <w:t xml:space="preserve">, 1099s, and other income statements for at least three years. These documents verify reported income and are crucial during an audit. </w:t>
      </w:r>
    </w:p>
    <w:p w14:paraId="40F20D29" w14:textId="77777777" w:rsidR="00B305BB" w:rsidRDefault="00B305BB" w:rsidP="00B305BB">
      <w:pPr>
        <w:pStyle w:val="StyleCalibriBoldBlueJustified"/>
        <w:numPr>
          <w:ilvl w:val="0"/>
          <w:numId w:val="33"/>
        </w:numPr>
        <w:rPr>
          <w:b w:val="0"/>
          <w:bCs w:val="0"/>
          <w:color w:val="auto"/>
          <w:lang w:val="en-US"/>
        </w:rPr>
      </w:pPr>
      <w:r w:rsidRPr="00B305BB">
        <w:rPr>
          <w:b w:val="0"/>
          <w:bCs w:val="0"/>
          <w:color w:val="auto"/>
          <w:lang w:val="en-US"/>
        </w:rPr>
        <w:t>Expense Records:</w:t>
      </w:r>
    </w:p>
    <w:p w14:paraId="3CEC2B4B" w14:textId="23471B45" w:rsidR="00B305BB" w:rsidRPr="00B305BB" w:rsidRDefault="00B305BB" w:rsidP="00B305BB">
      <w:pPr>
        <w:pStyle w:val="StyleCalibriBoldBlueJustified"/>
        <w:numPr>
          <w:ilvl w:val="1"/>
          <w:numId w:val="33"/>
        </w:numPr>
        <w:rPr>
          <w:b w:val="0"/>
          <w:bCs w:val="0"/>
          <w:color w:val="auto"/>
          <w:lang w:val="en-US"/>
        </w:rPr>
      </w:pPr>
      <w:r w:rsidRPr="00B305BB">
        <w:rPr>
          <w:b w:val="0"/>
          <w:bCs w:val="0"/>
          <w:color w:val="auto"/>
          <w:lang w:val="en-US"/>
        </w:rPr>
        <w:t xml:space="preserve">Keep receipts, invoices, and proof of deductions for at least three years. </w:t>
      </w:r>
    </w:p>
    <w:p w14:paraId="29D27D2A" w14:textId="77777777" w:rsidR="00B305BB" w:rsidRDefault="00B305BB" w:rsidP="00B305BB">
      <w:pPr>
        <w:pStyle w:val="StyleCalibriBoldBlueJustified"/>
        <w:numPr>
          <w:ilvl w:val="0"/>
          <w:numId w:val="33"/>
        </w:numPr>
        <w:rPr>
          <w:b w:val="0"/>
          <w:bCs w:val="0"/>
          <w:color w:val="auto"/>
          <w:lang w:val="en-US"/>
        </w:rPr>
      </w:pPr>
      <w:r w:rsidRPr="00B305BB">
        <w:rPr>
          <w:b w:val="0"/>
          <w:bCs w:val="0"/>
          <w:color w:val="auto"/>
          <w:lang w:val="en-US"/>
        </w:rPr>
        <w:t>Property and Investment Records:</w:t>
      </w:r>
    </w:p>
    <w:p w14:paraId="2540F0EF" w14:textId="77777777" w:rsidR="00C524AC" w:rsidRPr="00C524AC" w:rsidRDefault="00B305BB" w:rsidP="00C524AC">
      <w:pPr>
        <w:pStyle w:val="StyleCalibriBoldBlueJustified"/>
        <w:numPr>
          <w:ilvl w:val="1"/>
          <w:numId w:val="33"/>
        </w:numPr>
        <w:shd w:val="clear" w:color="auto" w:fill="FFFFFF"/>
        <w:spacing w:before="100" w:beforeAutospacing="1" w:after="150"/>
        <w:rPr>
          <w:rFonts w:ascii="Arial" w:hAnsi="Arial" w:cs="Arial"/>
          <w:b w:val="0"/>
          <w:bCs w:val="0"/>
          <w:color w:val="333333"/>
        </w:rPr>
      </w:pPr>
      <w:r w:rsidRPr="00B305BB">
        <w:rPr>
          <w:b w:val="0"/>
          <w:bCs w:val="0"/>
          <w:color w:val="auto"/>
          <w:lang w:val="en-US"/>
        </w:rPr>
        <w:t>Maintain records of property purchases, sales, and improvements for as long as you own the property, plus three years after filing the return reporting its sale. For stocks and other investments, keep records of transactions to calculate capital gains or losses.</w:t>
      </w:r>
    </w:p>
    <w:p w14:paraId="75E9212D" w14:textId="77777777" w:rsidR="00C524AC" w:rsidRPr="00C524AC" w:rsidRDefault="00B305BB" w:rsidP="00C524AC">
      <w:pPr>
        <w:pStyle w:val="StyleCalibriBoldBlueJustified"/>
        <w:numPr>
          <w:ilvl w:val="0"/>
          <w:numId w:val="33"/>
        </w:numPr>
        <w:rPr>
          <w:rStyle w:val="Strong"/>
          <w:rFonts w:ascii="Arial" w:hAnsi="Arial" w:cs="Arial"/>
          <w:b/>
          <w:bCs/>
          <w:color w:val="333333"/>
        </w:rPr>
      </w:pPr>
      <w:r w:rsidRPr="00B305BB">
        <w:rPr>
          <w:b w:val="0"/>
          <w:bCs w:val="0"/>
          <w:color w:val="auto"/>
          <w:lang w:val="en-US"/>
        </w:rPr>
        <w:t xml:space="preserve"> </w:t>
      </w:r>
      <w:r w:rsidR="00C524AC" w:rsidRPr="00C524AC">
        <w:rPr>
          <w:b w:val="0"/>
          <w:bCs w:val="0"/>
          <w:color w:val="auto"/>
          <w:lang w:val="en-US"/>
        </w:rPr>
        <w:t>Retirement Account Records:</w:t>
      </w:r>
    </w:p>
    <w:p w14:paraId="1531E49E" w14:textId="6AE61208" w:rsidR="00C524AC" w:rsidRPr="00C524AC" w:rsidRDefault="00220915" w:rsidP="00C524AC">
      <w:pPr>
        <w:pStyle w:val="StyleCalibriBoldBlueJustified"/>
        <w:numPr>
          <w:ilvl w:val="1"/>
          <w:numId w:val="33"/>
        </w:numPr>
        <w:shd w:val="clear" w:color="auto" w:fill="FFFFFF"/>
        <w:spacing w:before="100" w:beforeAutospacing="1" w:after="150"/>
        <w:rPr>
          <w:b w:val="0"/>
          <w:bCs w:val="0"/>
          <w:color w:val="auto"/>
          <w:lang w:val="en-US"/>
        </w:rPr>
      </w:pPr>
      <w:r>
        <w:rPr>
          <w:b w:val="0"/>
          <w:bCs w:val="0"/>
          <w:color w:val="auto"/>
          <w:lang w:val="en-US"/>
        </w:rPr>
        <w:t>GDG USA will r</w:t>
      </w:r>
      <w:r w:rsidR="00C524AC" w:rsidRPr="00C524AC">
        <w:rPr>
          <w:b w:val="0"/>
          <w:bCs w:val="0"/>
          <w:color w:val="auto"/>
          <w:lang w:val="en-US"/>
        </w:rPr>
        <w:t>etain documents related to contributions and distributions from </w:t>
      </w:r>
      <w:hyperlink r:id="rId11" w:tgtFrame="_blank" w:history="1">
        <w:r w:rsidR="00C524AC" w:rsidRPr="00C524AC">
          <w:rPr>
            <w:color w:val="auto"/>
            <w:lang w:val="en-US"/>
          </w:rPr>
          <w:t>IRAs</w:t>
        </w:r>
      </w:hyperlink>
      <w:r w:rsidR="00C524AC" w:rsidRPr="00C524AC">
        <w:rPr>
          <w:b w:val="0"/>
          <w:bCs w:val="0"/>
          <w:color w:val="auto"/>
          <w:lang w:val="en-US"/>
        </w:rPr>
        <w:t xml:space="preserve"> or other retirement accounts until the account is fully distributed and reported on </w:t>
      </w:r>
      <w:r>
        <w:rPr>
          <w:b w:val="0"/>
          <w:bCs w:val="0"/>
          <w:color w:val="auto"/>
          <w:lang w:val="en-US"/>
        </w:rPr>
        <w:t>the</w:t>
      </w:r>
      <w:r w:rsidR="00C524AC" w:rsidRPr="00C524AC">
        <w:rPr>
          <w:b w:val="0"/>
          <w:bCs w:val="0"/>
          <w:color w:val="auto"/>
          <w:lang w:val="en-US"/>
        </w:rPr>
        <w:t xml:space="preserve"> tax return. For Roth IRAs, it’s important to keep records of contributions, as these may be withdrawn tax-free.</w:t>
      </w:r>
    </w:p>
    <w:p w14:paraId="7C85C2AC" w14:textId="4317CD78" w:rsidR="00093EF9" w:rsidRPr="00624B92" w:rsidRDefault="00B305BB" w:rsidP="00C550F6">
      <w:pPr>
        <w:pStyle w:val="Heading1"/>
      </w:pPr>
      <w:r w:rsidRPr="00B305BB">
        <w:rPr>
          <w:lang w:val="en-US"/>
        </w:rPr>
        <w:t>State Tax Record Retention Requirements</w:t>
      </w:r>
      <w:r w:rsidR="00351FE2" w:rsidRPr="00624B92">
        <w:t xml:space="preserve"> </w:t>
      </w:r>
    </w:p>
    <w:p w14:paraId="6F96DCA8" w14:textId="30DFE5A4" w:rsidR="00B305BB" w:rsidRDefault="00B305BB" w:rsidP="00351FE2">
      <w:pPr>
        <w:pStyle w:val="StyleCalibriBoldBlueJustified"/>
        <w:numPr>
          <w:ilvl w:val="0"/>
          <w:numId w:val="0"/>
        </w:numPr>
        <w:ind w:left="357"/>
        <w:rPr>
          <w:b w:val="0"/>
          <w:bCs w:val="0"/>
          <w:color w:val="auto"/>
          <w:szCs w:val="22"/>
          <w:lang w:val="en-GB"/>
        </w:rPr>
      </w:pPr>
      <w:r w:rsidRPr="00B305BB">
        <w:rPr>
          <w:b w:val="0"/>
          <w:color w:val="auto"/>
          <w:szCs w:val="22"/>
          <w:lang w:val="en-GB"/>
        </w:rPr>
        <w:t>State tax authorities may have different retention requirements than the IRS. Some states recommend keeping records for up to </w:t>
      </w:r>
      <w:hyperlink r:id="rId12" w:history="1">
        <w:r w:rsidRPr="00B305BB">
          <w:rPr>
            <w:rStyle w:val="Hyperlink"/>
            <w:b w:val="0"/>
            <w:szCs w:val="22"/>
            <w:lang w:val="en-GB"/>
          </w:rPr>
          <w:t>seven years</w:t>
        </w:r>
      </w:hyperlink>
      <w:r w:rsidRPr="00B305BB">
        <w:rPr>
          <w:b w:val="0"/>
          <w:color w:val="auto"/>
          <w:szCs w:val="22"/>
          <w:lang w:val="en-GB"/>
        </w:rPr>
        <w:t>. </w:t>
      </w:r>
      <w:r w:rsidRPr="00B305BB">
        <w:rPr>
          <w:color w:val="auto"/>
          <w:szCs w:val="22"/>
          <w:lang w:val="en-GB"/>
        </w:rPr>
        <w:t xml:space="preserve"> </w:t>
      </w:r>
      <w:r w:rsidRPr="00B305BB">
        <w:rPr>
          <w:b w:val="0"/>
          <w:bCs w:val="0"/>
          <w:color w:val="auto"/>
          <w:szCs w:val="22"/>
          <w:lang w:val="en-GB"/>
        </w:rPr>
        <w:t xml:space="preserve">If </w:t>
      </w:r>
      <w:r>
        <w:rPr>
          <w:b w:val="0"/>
          <w:bCs w:val="0"/>
          <w:color w:val="auto"/>
          <w:szCs w:val="22"/>
          <w:lang w:val="en-GB"/>
        </w:rPr>
        <w:t>GDG USA</w:t>
      </w:r>
      <w:r w:rsidR="00C524AC">
        <w:rPr>
          <w:b w:val="0"/>
          <w:bCs w:val="0"/>
          <w:color w:val="auto"/>
          <w:szCs w:val="22"/>
          <w:lang w:val="en-GB"/>
        </w:rPr>
        <w:t xml:space="preserve"> moves</w:t>
      </w:r>
      <w:r w:rsidRPr="00B305BB">
        <w:rPr>
          <w:b w:val="0"/>
          <w:bCs w:val="0"/>
          <w:color w:val="auto"/>
          <w:szCs w:val="22"/>
          <w:lang w:val="en-GB"/>
        </w:rPr>
        <w:t xml:space="preserve"> to a new state, </w:t>
      </w:r>
      <w:r w:rsidR="00C524AC">
        <w:rPr>
          <w:b w:val="0"/>
          <w:bCs w:val="0"/>
          <w:color w:val="auto"/>
          <w:szCs w:val="22"/>
          <w:lang w:val="en-GB"/>
        </w:rPr>
        <w:t>we will retain</w:t>
      </w:r>
      <w:r w:rsidRPr="00B305BB">
        <w:rPr>
          <w:b w:val="0"/>
          <w:bCs w:val="0"/>
          <w:color w:val="auto"/>
          <w:szCs w:val="22"/>
          <w:lang w:val="en-GB"/>
        </w:rPr>
        <w:t xml:space="preserve"> records from the previous state for the recommended duration to avoid complications if a state audit arises.</w:t>
      </w:r>
    </w:p>
    <w:p w14:paraId="699AECEB" w14:textId="77777777" w:rsidR="00C524AC" w:rsidRDefault="00C524AC" w:rsidP="00351FE2">
      <w:pPr>
        <w:pStyle w:val="StyleCalibriBoldBlueJustified"/>
        <w:numPr>
          <w:ilvl w:val="0"/>
          <w:numId w:val="0"/>
        </w:numPr>
        <w:ind w:left="357"/>
        <w:rPr>
          <w:b w:val="0"/>
          <w:bCs w:val="0"/>
          <w:color w:val="auto"/>
          <w:szCs w:val="22"/>
          <w:lang w:val="en-GB"/>
        </w:rPr>
      </w:pPr>
    </w:p>
    <w:p w14:paraId="005A3AFA" w14:textId="77777777" w:rsidR="00C524AC" w:rsidRPr="00B305BB" w:rsidRDefault="00C524AC" w:rsidP="00351FE2">
      <w:pPr>
        <w:pStyle w:val="StyleCalibriBoldBlueJustified"/>
        <w:numPr>
          <w:ilvl w:val="0"/>
          <w:numId w:val="0"/>
        </w:numPr>
        <w:ind w:left="357"/>
        <w:rPr>
          <w:b w:val="0"/>
          <w:bCs w:val="0"/>
          <w:color w:val="auto"/>
          <w:szCs w:val="22"/>
          <w:lang w:val="en-GB"/>
        </w:rPr>
      </w:pPr>
    </w:p>
    <w:p w14:paraId="318EC283" w14:textId="2121F458" w:rsidR="00C524AC" w:rsidRDefault="00C524AC" w:rsidP="00C524AC">
      <w:pPr>
        <w:pStyle w:val="Heading1"/>
        <w:rPr>
          <w:lang w:val="en-US"/>
        </w:rPr>
      </w:pPr>
      <w:r w:rsidRPr="00C524AC">
        <w:rPr>
          <w:lang w:val="en-US"/>
        </w:rPr>
        <w:lastRenderedPageBreak/>
        <w:t>Best Practices for Record Keeping</w:t>
      </w:r>
    </w:p>
    <w:p w14:paraId="30538941" w14:textId="77777777" w:rsidR="00C524AC" w:rsidRPr="00C524AC" w:rsidRDefault="00C524AC" w:rsidP="00C524AC">
      <w:pPr>
        <w:rPr>
          <w:lang w:val="en-US"/>
        </w:rPr>
      </w:pPr>
      <w:r w:rsidRPr="00C524AC">
        <w:rPr>
          <w:b/>
          <w:bCs/>
          <w:lang w:val="en-US"/>
        </w:rPr>
        <w:t>Organizing Records:</w:t>
      </w:r>
    </w:p>
    <w:p w14:paraId="0FC547B3" w14:textId="3D3B7FB7" w:rsidR="00C524AC" w:rsidRPr="00C524AC" w:rsidRDefault="007D0FDC" w:rsidP="00C524AC">
      <w:pPr>
        <w:numPr>
          <w:ilvl w:val="0"/>
          <w:numId w:val="34"/>
        </w:numPr>
        <w:rPr>
          <w:lang w:val="en-US"/>
        </w:rPr>
      </w:pPr>
      <w:r>
        <w:rPr>
          <w:lang w:val="en-US"/>
        </w:rPr>
        <w:t>GDG USA will c</w:t>
      </w:r>
      <w:r w:rsidR="00C524AC" w:rsidRPr="00C524AC">
        <w:rPr>
          <w:lang w:val="en-US"/>
        </w:rPr>
        <w:t xml:space="preserve">ategorize documents by year and type (e.g., income, expenses, investments). </w:t>
      </w:r>
      <w:r>
        <w:rPr>
          <w:lang w:val="en-US"/>
        </w:rPr>
        <w:t>There are</w:t>
      </w:r>
      <w:r w:rsidR="00C524AC" w:rsidRPr="00C524AC">
        <w:rPr>
          <w:lang w:val="en-US"/>
        </w:rPr>
        <w:t xml:space="preserve"> labeled folders or digital directories for easy access. </w:t>
      </w:r>
    </w:p>
    <w:p w14:paraId="5967343D" w14:textId="77777777" w:rsidR="00C524AC" w:rsidRPr="00C524AC" w:rsidRDefault="00C524AC" w:rsidP="00C524AC">
      <w:pPr>
        <w:rPr>
          <w:lang w:val="en-US"/>
        </w:rPr>
      </w:pPr>
      <w:r w:rsidRPr="00C524AC">
        <w:rPr>
          <w:b/>
          <w:bCs/>
          <w:lang w:val="en-US"/>
        </w:rPr>
        <w:t>Digital vs. Physical Copies:</w:t>
      </w:r>
    </w:p>
    <w:p w14:paraId="674BE1B3" w14:textId="7A064E13" w:rsidR="00C524AC" w:rsidRPr="00C524AC" w:rsidRDefault="00C524AC" w:rsidP="00C524AC">
      <w:pPr>
        <w:numPr>
          <w:ilvl w:val="0"/>
          <w:numId w:val="35"/>
        </w:numPr>
        <w:rPr>
          <w:lang w:val="en-US"/>
        </w:rPr>
      </w:pPr>
      <w:hyperlink r:id="rId13" w:history="1">
        <w:r w:rsidRPr="00C524AC">
          <w:rPr>
            <w:rStyle w:val="Hyperlink"/>
            <w:lang w:val="en-US"/>
          </w:rPr>
          <w:t>Digital copies</w:t>
        </w:r>
      </w:hyperlink>
      <w:r w:rsidRPr="00C524AC">
        <w:rPr>
          <w:lang w:val="en-US"/>
        </w:rPr>
        <w:t xml:space="preserve"> are valid for IRS purposes as long as they are legible and accurate. </w:t>
      </w:r>
      <w:r w:rsidR="007D0FDC">
        <w:rPr>
          <w:lang w:val="en-US"/>
        </w:rPr>
        <w:t>GDG USA will u</w:t>
      </w:r>
      <w:r w:rsidRPr="00C524AC">
        <w:rPr>
          <w:lang w:val="en-US"/>
        </w:rPr>
        <w:t xml:space="preserve">se external drives to back up files. </w:t>
      </w:r>
      <w:r w:rsidR="007D0FDC">
        <w:rPr>
          <w:lang w:val="en-US"/>
        </w:rPr>
        <w:t xml:space="preserve">Accounting software, APLOS, will keep electronic records for as long as GDG USA is in business. </w:t>
      </w:r>
    </w:p>
    <w:p w14:paraId="651E6C30" w14:textId="40DB11C4" w:rsidR="00C524AC" w:rsidRPr="00C524AC" w:rsidRDefault="00C524AC" w:rsidP="00C524AC">
      <w:pPr>
        <w:numPr>
          <w:ilvl w:val="0"/>
          <w:numId w:val="35"/>
        </w:numPr>
        <w:rPr>
          <w:lang w:val="en-US"/>
        </w:rPr>
      </w:pPr>
      <w:r w:rsidRPr="00C524AC">
        <w:rPr>
          <w:lang w:val="en-US"/>
        </w:rPr>
        <w:t>For physical copies</w:t>
      </w:r>
      <w:r w:rsidR="007D0FDC">
        <w:rPr>
          <w:lang w:val="en-US"/>
        </w:rPr>
        <w:t xml:space="preserve"> of documents</w:t>
      </w:r>
      <w:r w:rsidRPr="00C524AC">
        <w:rPr>
          <w:lang w:val="en-US"/>
        </w:rPr>
        <w:t xml:space="preserve">, </w:t>
      </w:r>
      <w:r w:rsidR="007D0FDC">
        <w:rPr>
          <w:lang w:val="en-US"/>
        </w:rPr>
        <w:t>they are scanned and kept in electronic folders.</w:t>
      </w:r>
    </w:p>
    <w:p w14:paraId="5B29574F" w14:textId="77777777" w:rsidR="00C524AC" w:rsidRPr="00C524AC" w:rsidRDefault="00C524AC" w:rsidP="00C524AC">
      <w:pPr>
        <w:rPr>
          <w:lang w:val="en-US"/>
        </w:rPr>
      </w:pPr>
      <w:r w:rsidRPr="00C524AC">
        <w:rPr>
          <w:b/>
          <w:bCs/>
          <w:lang w:val="en-US"/>
        </w:rPr>
        <w:t>Security Measures:</w:t>
      </w:r>
    </w:p>
    <w:p w14:paraId="5C0764CA" w14:textId="7C6DA525" w:rsidR="00C524AC" w:rsidRPr="00C524AC" w:rsidRDefault="007D0FDC" w:rsidP="00C524AC">
      <w:pPr>
        <w:numPr>
          <w:ilvl w:val="0"/>
          <w:numId w:val="36"/>
        </w:numPr>
        <w:rPr>
          <w:lang w:val="en-US"/>
        </w:rPr>
      </w:pPr>
      <w:r>
        <w:rPr>
          <w:lang w:val="en-US"/>
        </w:rPr>
        <w:t>GDG USA will p</w:t>
      </w:r>
      <w:r w:rsidR="00C524AC" w:rsidRPr="00C524AC">
        <w:rPr>
          <w:lang w:val="en-US"/>
        </w:rPr>
        <w:t xml:space="preserve">rotect sensitive documents from identity theft. </w:t>
      </w:r>
      <w:r>
        <w:rPr>
          <w:lang w:val="en-US"/>
        </w:rPr>
        <w:t xml:space="preserve">GDG USA uses 2 different firewalls to prevent hacking and secured software, APLOS, uses </w:t>
      </w:r>
      <w:r w:rsidR="00C524AC" w:rsidRPr="00C524AC">
        <w:rPr>
          <w:lang w:val="en-US"/>
        </w:rPr>
        <w:t>two-factor authentication for additional security.</w:t>
      </w:r>
    </w:p>
    <w:p w14:paraId="2A591BB2" w14:textId="77777777" w:rsidR="007D0FDC" w:rsidRPr="007D0FDC" w:rsidRDefault="007D0FDC" w:rsidP="007D0FDC">
      <w:pPr>
        <w:pStyle w:val="Heading1"/>
        <w:rPr>
          <w:lang w:val="en-US"/>
        </w:rPr>
      </w:pPr>
      <w:r w:rsidRPr="007D0FDC">
        <w:rPr>
          <w:lang w:val="en-US"/>
        </w:rPr>
        <w:t>Disposing of Old Tax Records</w:t>
      </w:r>
    </w:p>
    <w:p w14:paraId="0946897E" w14:textId="0930EC51" w:rsidR="007D0FDC" w:rsidRPr="007D0FDC" w:rsidRDefault="007D0FDC" w:rsidP="00E922CC">
      <w:pPr>
        <w:pStyle w:val="StyleCalibriBoldBlueJustified"/>
        <w:numPr>
          <w:ilvl w:val="0"/>
          <w:numId w:val="0"/>
        </w:numPr>
        <w:ind w:left="357"/>
        <w:rPr>
          <w:b w:val="0"/>
          <w:color w:val="auto"/>
          <w:szCs w:val="22"/>
          <w:lang w:val="en-GB"/>
        </w:rPr>
      </w:pPr>
      <w:r w:rsidRPr="007D0FDC">
        <w:rPr>
          <w:b w:val="0"/>
          <w:color w:val="auto"/>
          <w:szCs w:val="22"/>
          <w:lang w:val="en-GB"/>
        </w:rPr>
        <w:t xml:space="preserve">Once records are no longer needed, </w:t>
      </w:r>
      <w:r>
        <w:rPr>
          <w:b w:val="0"/>
          <w:color w:val="auto"/>
          <w:szCs w:val="22"/>
          <w:lang w:val="en-GB"/>
        </w:rPr>
        <w:t xml:space="preserve">GDG USA will </w:t>
      </w:r>
      <w:r w:rsidRPr="007D0FDC">
        <w:rPr>
          <w:b w:val="0"/>
          <w:color w:val="auto"/>
          <w:szCs w:val="22"/>
          <w:lang w:val="en-GB"/>
        </w:rPr>
        <w:t xml:space="preserve">dispose of them securely to prevent identity theft. </w:t>
      </w:r>
      <w:r w:rsidR="00E922CC">
        <w:rPr>
          <w:b w:val="0"/>
          <w:color w:val="auto"/>
          <w:szCs w:val="22"/>
          <w:lang w:val="en-GB"/>
        </w:rPr>
        <w:t>We will s</w:t>
      </w:r>
      <w:r w:rsidRPr="007D0FDC">
        <w:rPr>
          <w:b w:val="0"/>
          <w:color w:val="auto"/>
          <w:szCs w:val="22"/>
          <w:lang w:val="en-GB"/>
        </w:rPr>
        <w:t xml:space="preserve">hred physical documents and use secure software to permanently delete electronic files. </w:t>
      </w:r>
      <w:r w:rsidR="00E922CC">
        <w:rPr>
          <w:b w:val="0"/>
          <w:color w:val="auto"/>
          <w:szCs w:val="22"/>
          <w:lang w:val="en-GB"/>
        </w:rPr>
        <w:t>Physical documents will be shredded.</w:t>
      </w:r>
    </w:p>
    <w:p w14:paraId="2A3E5DFA" w14:textId="4CC8F727" w:rsidR="00093EF9" w:rsidRPr="00624B92" w:rsidRDefault="00351FE2" w:rsidP="007D0FDC">
      <w:pPr>
        <w:pStyle w:val="Heading1"/>
        <w:numPr>
          <w:ilvl w:val="0"/>
          <w:numId w:val="0"/>
        </w:numPr>
        <w:ind w:left="567"/>
      </w:pPr>
      <w:r w:rsidRPr="00624B92">
        <w:t xml:space="preserve"> </w:t>
      </w:r>
    </w:p>
    <w:p w14:paraId="740BD9F7" w14:textId="77777777" w:rsidR="00351FE2" w:rsidRPr="00351FE2" w:rsidRDefault="00351FE2" w:rsidP="00351FE2"/>
    <w:p w14:paraId="3AA73702" w14:textId="77777777" w:rsidR="00093EF9" w:rsidRPr="0069025D" w:rsidRDefault="00093EF9" w:rsidP="00093EF9">
      <w:pPr>
        <w:autoSpaceDE w:val="0"/>
        <w:autoSpaceDN w:val="0"/>
        <w:adjustRightInd w:val="0"/>
        <w:spacing w:after="0" w:line="240" w:lineRule="auto"/>
        <w:rPr>
          <w:rFonts w:cs="Akkurat Light"/>
          <w:color w:val="000000"/>
        </w:rPr>
      </w:pPr>
    </w:p>
    <w:p w14:paraId="4CE8E5C9" w14:textId="48F6991B" w:rsidR="00093EF9" w:rsidRPr="006A4374" w:rsidRDefault="00093EF9" w:rsidP="006A4374">
      <w:pPr>
        <w:autoSpaceDE w:val="0"/>
        <w:autoSpaceDN w:val="0"/>
        <w:adjustRightInd w:val="0"/>
        <w:spacing w:after="0" w:line="240" w:lineRule="auto"/>
        <w:rPr>
          <w:rFonts w:cs="Arvo"/>
          <w:bCs/>
          <w:color w:val="000000"/>
          <w:szCs w:val="30"/>
        </w:rPr>
      </w:pPr>
    </w:p>
    <w:p w14:paraId="1DC424FE" w14:textId="29F300E8" w:rsidR="00093EF9" w:rsidRPr="0069025D" w:rsidRDefault="00093EF9" w:rsidP="004D19A0"/>
    <w:sectPr w:rsidR="00093EF9" w:rsidRPr="0069025D" w:rsidSect="00DF049C">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EF7E" w14:textId="77777777" w:rsidR="0041552D" w:rsidRDefault="0041552D" w:rsidP="004E3E32">
      <w:pPr>
        <w:spacing w:after="0" w:line="240" w:lineRule="auto"/>
      </w:pPr>
      <w:r>
        <w:separator/>
      </w:r>
    </w:p>
  </w:endnote>
  <w:endnote w:type="continuationSeparator" w:id="0">
    <w:p w14:paraId="7FDFE124" w14:textId="77777777" w:rsidR="0041552D" w:rsidRDefault="0041552D" w:rsidP="004E3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Calibri"/>
    <w:panose1 w:val="00000000000000000000"/>
    <w:charset w:val="00"/>
    <w:family w:val="roman"/>
    <w:notTrueType/>
    <w:pitch w:val="default"/>
    <w:sig w:usb0="00000003" w:usb1="00000000" w:usb2="00000000" w:usb3="00000000" w:csb0="00000001" w:csb1="00000000"/>
  </w:font>
  <w:font w:name="Akkurat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3E7C" w14:textId="063C497E" w:rsidR="004E3E32" w:rsidRPr="000B6E17" w:rsidRDefault="004E3E32" w:rsidP="00DF049C">
    <w:pPr>
      <w:pStyle w:val="Footer"/>
      <w:pBdr>
        <w:top w:val="single" w:sz="12" w:space="1" w:color="017DC3"/>
      </w:pBdr>
      <w:tabs>
        <w:tab w:val="clear" w:pos="4513"/>
        <w:tab w:val="clear" w:pos="9026"/>
        <w:tab w:val="center" w:pos="4820"/>
        <w:tab w:val="right" w:pos="9638"/>
      </w:tabs>
      <w:rPr>
        <w:noProof/>
        <w:sz w:val="18"/>
      </w:rPr>
    </w:pPr>
    <w:r w:rsidRPr="000B6E17">
      <w:rPr>
        <w:sz w:val="18"/>
      </w:rPr>
      <w:fldChar w:fldCharType="begin"/>
    </w:r>
    <w:r w:rsidRPr="000B6E17">
      <w:rPr>
        <w:sz w:val="18"/>
        <w:lang w:val="en-AU"/>
      </w:rPr>
      <w:instrText xml:space="preserve"> FILENAME \* MERGEFORMAT </w:instrText>
    </w:r>
    <w:r w:rsidRPr="000B6E17">
      <w:rPr>
        <w:sz w:val="18"/>
      </w:rPr>
      <w:fldChar w:fldCharType="separate"/>
    </w:r>
    <w:r w:rsidRPr="000B6E17">
      <w:rPr>
        <w:sz w:val="18"/>
      </w:rPr>
      <w:fldChar w:fldCharType="end"/>
    </w:r>
    <w:r w:rsidR="00FA154E">
      <w:rPr>
        <w:sz w:val="18"/>
      </w:rPr>
      <w:t>Retention</w:t>
    </w:r>
    <w:r w:rsidR="005D1EDB">
      <w:rPr>
        <w:sz w:val="18"/>
      </w:rPr>
      <w:t xml:space="preserve"> Policy </w:t>
    </w:r>
    <w:r w:rsidR="005D1EDB">
      <w:rPr>
        <w:sz w:val="18"/>
      </w:rPr>
      <w:tab/>
      <w:t xml:space="preserve"> </w:t>
    </w:r>
    <w:r w:rsidR="004D19A0">
      <w:rPr>
        <w:sz w:val="18"/>
      </w:rPr>
      <w:t>(</w:t>
    </w:r>
    <w:r w:rsidR="00FA154E">
      <w:rPr>
        <w:sz w:val="18"/>
      </w:rPr>
      <w:t>December</w:t>
    </w:r>
    <w:r w:rsidR="005D1EDB">
      <w:rPr>
        <w:sz w:val="18"/>
      </w:rPr>
      <w:t xml:space="preserve"> 202</w:t>
    </w:r>
    <w:r w:rsidR="00FA154E">
      <w:rPr>
        <w:sz w:val="18"/>
      </w:rPr>
      <w:t>5</w:t>
    </w:r>
    <w:r w:rsidR="004D19A0">
      <w:rPr>
        <w:sz w:val="18"/>
      </w:rPr>
      <w:t>)</w:t>
    </w:r>
    <w:r w:rsidRPr="000B6E17">
      <w:rPr>
        <w:sz w:val="18"/>
      </w:rPr>
      <w:tab/>
      <w:t xml:space="preserve">Page | </w:t>
    </w:r>
    <w:r w:rsidRPr="000B6E17">
      <w:rPr>
        <w:sz w:val="18"/>
      </w:rPr>
      <w:fldChar w:fldCharType="begin"/>
    </w:r>
    <w:r w:rsidRPr="000B6E17">
      <w:rPr>
        <w:sz w:val="18"/>
      </w:rPr>
      <w:instrText xml:space="preserve"> PAGE   \* MERGEFORMAT </w:instrText>
    </w:r>
    <w:r w:rsidRPr="000B6E17">
      <w:rPr>
        <w:sz w:val="18"/>
      </w:rPr>
      <w:fldChar w:fldCharType="separate"/>
    </w:r>
    <w:r w:rsidR="00056233">
      <w:rPr>
        <w:noProof/>
        <w:sz w:val="18"/>
      </w:rPr>
      <w:t>12</w:t>
    </w:r>
    <w:r w:rsidRPr="000B6E17">
      <w:rPr>
        <w:noProof/>
        <w:sz w:val="18"/>
      </w:rPr>
      <w:fldChar w:fldCharType="end"/>
    </w:r>
  </w:p>
  <w:p w14:paraId="5A64FE67" w14:textId="0A04BDF5" w:rsidR="004E3E32" w:rsidRPr="00DF049C" w:rsidRDefault="004E3E32" w:rsidP="00DF049C">
    <w:pPr>
      <w:pStyle w:val="Footer"/>
      <w:tabs>
        <w:tab w:val="clear" w:pos="4513"/>
        <w:tab w:val="clear" w:pos="9026"/>
        <w:tab w:val="center" w:pos="4820"/>
        <w:tab w:val="right" w:pos="9638"/>
      </w:tabs>
      <w:rPr>
        <w:sz w:val="13"/>
        <w:szCs w:val="15"/>
      </w:rPr>
    </w:pPr>
    <w:r w:rsidRPr="00DF049C">
      <w:rPr>
        <w:noProof/>
        <w:sz w:val="13"/>
        <w:szCs w:val="15"/>
      </w:rPr>
      <w:t>Global Development Group</w:t>
    </w:r>
    <w:r w:rsidR="00FA154E">
      <w:rPr>
        <w:noProof/>
        <w:sz w:val="13"/>
        <w:szCs w:val="15"/>
      </w:rPr>
      <w:t>.</w:t>
    </w:r>
    <w:r w:rsidRPr="00DF049C">
      <w:rPr>
        <w:noProof/>
        <w:sz w:val="13"/>
        <w:szCs w:val="15"/>
      </w:rPr>
      <w:t xml:space="preserve"> All rights r</w:t>
    </w:r>
    <w:r w:rsidR="00F30146">
      <w:rPr>
        <w:noProof/>
        <w:sz w:val="13"/>
        <w:szCs w:val="15"/>
      </w:rPr>
      <w:t>e</w:t>
    </w:r>
    <w:r w:rsidRPr="00DF049C">
      <w:rPr>
        <w:noProof/>
        <w:sz w:val="13"/>
        <w:szCs w:val="15"/>
      </w:rPr>
      <w:t>served. No reproduction in any form is permitted without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12DD8" w14:textId="77777777" w:rsidR="0041552D" w:rsidRDefault="0041552D" w:rsidP="004E3E32">
      <w:pPr>
        <w:spacing w:after="0" w:line="240" w:lineRule="auto"/>
      </w:pPr>
      <w:r>
        <w:separator/>
      </w:r>
    </w:p>
  </w:footnote>
  <w:footnote w:type="continuationSeparator" w:id="0">
    <w:p w14:paraId="17226925" w14:textId="77777777" w:rsidR="0041552D" w:rsidRDefault="0041552D" w:rsidP="004E3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E71"/>
    <w:multiLevelType w:val="multilevel"/>
    <w:tmpl w:val="60C6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826A0"/>
    <w:multiLevelType w:val="hybridMultilevel"/>
    <w:tmpl w:val="235030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D3956"/>
    <w:multiLevelType w:val="multilevel"/>
    <w:tmpl w:val="9B5CA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787C05"/>
    <w:multiLevelType w:val="hybridMultilevel"/>
    <w:tmpl w:val="4476F138"/>
    <w:lvl w:ilvl="0" w:tplc="AE9ACD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60C20"/>
    <w:multiLevelType w:val="hybridMultilevel"/>
    <w:tmpl w:val="96FC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D342E"/>
    <w:multiLevelType w:val="hybridMultilevel"/>
    <w:tmpl w:val="29168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C14C56"/>
    <w:multiLevelType w:val="hybridMultilevel"/>
    <w:tmpl w:val="85E068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A4474A"/>
    <w:multiLevelType w:val="hybridMultilevel"/>
    <w:tmpl w:val="64CA1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F05A8"/>
    <w:multiLevelType w:val="hybridMultilevel"/>
    <w:tmpl w:val="DDC09062"/>
    <w:lvl w:ilvl="0" w:tplc="0C090017">
      <w:start w:val="1"/>
      <w:numFmt w:val="lowerLetter"/>
      <w:lvlText w:val="%1)"/>
      <w:lvlJc w:val="left"/>
      <w:pPr>
        <w:ind w:left="1800" w:hanging="360"/>
      </w:pPr>
    </w:lvl>
    <w:lvl w:ilvl="1" w:tplc="931039C2">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1B5A0EFF"/>
    <w:multiLevelType w:val="hybridMultilevel"/>
    <w:tmpl w:val="1F5A4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232B10"/>
    <w:multiLevelType w:val="hybridMultilevel"/>
    <w:tmpl w:val="EDEAE9BE"/>
    <w:lvl w:ilvl="0" w:tplc="04090001">
      <w:start w:val="1"/>
      <w:numFmt w:val="bullet"/>
      <w:pStyle w:val="StyleCalibriBoldBlueJustified"/>
      <w:lvlText w:val=""/>
      <w:lvlJc w:val="left"/>
      <w:pPr>
        <w:ind w:left="4353" w:hanging="360"/>
      </w:pPr>
      <w:rPr>
        <w:rFonts w:ascii="Symbol" w:hAnsi="Symbol" w:hint="default"/>
      </w:rPr>
    </w:lvl>
    <w:lvl w:ilvl="1" w:tplc="0C090019" w:tentative="1">
      <w:start w:val="1"/>
      <w:numFmt w:val="lowerLetter"/>
      <w:lvlText w:val="%2."/>
      <w:lvlJc w:val="left"/>
      <w:pPr>
        <w:ind w:left="5073" w:hanging="360"/>
      </w:pPr>
    </w:lvl>
    <w:lvl w:ilvl="2" w:tplc="0C09001B" w:tentative="1">
      <w:start w:val="1"/>
      <w:numFmt w:val="lowerRoman"/>
      <w:lvlText w:val="%3."/>
      <w:lvlJc w:val="right"/>
      <w:pPr>
        <w:ind w:left="5793" w:hanging="180"/>
      </w:pPr>
    </w:lvl>
    <w:lvl w:ilvl="3" w:tplc="0C09000F" w:tentative="1">
      <w:start w:val="1"/>
      <w:numFmt w:val="decimal"/>
      <w:lvlText w:val="%4."/>
      <w:lvlJc w:val="left"/>
      <w:pPr>
        <w:ind w:left="6513" w:hanging="360"/>
      </w:pPr>
    </w:lvl>
    <w:lvl w:ilvl="4" w:tplc="0C090019" w:tentative="1">
      <w:start w:val="1"/>
      <w:numFmt w:val="lowerLetter"/>
      <w:lvlText w:val="%5."/>
      <w:lvlJc w:val="left"/>
      <w:pPr>
        <w:ind w:left="7233" w:hanging="360"/>
      </w:pPr>
    </w:lvl>
    <w:lvl w:ilvl="5" w:tplc="0C09001B" w:tentative="1">
      <w:start w:val="1"/>
      <w:numFmt w:val="lowerRoman"/>
      <w:lvlText w:val="%6."/>
      <w:lvlJc w:val="right"/>
      <w:pPr>
        <w:ind w:left="7953" w:hanging="180"/>
      </w:pPr>
    </w:lvl>
    <w:lvl w:ilvl="6" w:tplc="0C09000F" w:tentative="1">
      <w:start w:val="1"/>
      <w:numFmt w:val="decimal"/>
      <w:lvlText w:val="%7."/>
      <w:lvlJc w:val="left"/>
      <w:pPr>
        <w:ind w:left="8673" w:hanging="360"/>
      </w:pPr>
    </w:lvl>
    <w:lvl w:ilvl="7" w:tplc="0C090019" w:tentative="1">
      <w:start w:val="1"/>
      <w:numFmt w:val="lowerLetter"/>
      <w:lvlText w:val="%8."/>
      <w:lvlJc w:val="left"/>
      <w:pPr>
        <w:ind w:left="9393" w:hanging="360"/>
      </w:pPr>
    </w:lvl>
    <w:lvl w:ilvl="8" w:tplc="0C09001B" w:tentative="1">
      <w:start w:val="1"/>
      <w:numFmt w:val="lowerRoman"/>
      <w:lvlText w:val="%9."/>
      <w:lvlJc w:val="right"/>
      <w:pPr>
        <w:ind w:left="10113" w:hanging="180"/>
      </w:pPr>
    </w:lvl>
  </w:abstractNum>
  <w:abstractNum w:abstractNumId="11" w15:restartNumberingAfterBreak="0">
    <w:nsid w:val="2A3C6D52"/>
    <w:multiLevelType w:val="hybridMultilevel"/>
    <w:tmpl w:val="484AA76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C1A2875"/>
    <w:multiLevelType w:val="hybridMultilevel"/>
    <w:tmpl w:val="4BECFE78"/>
    <w:lvl w:ilvl="0" w:tplc="B052C3A2">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770392"/>
    <w:multiLevelType w:val="hybridMultilevel"/>
    <w:tmpl w:val="59161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6F35C5"/>
    <w:multiLevelType w:val="hybridMultilevel"/>
    <w:tmpl w:val="2520A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9F3404"/>
    <w:multiLevelType w:val="multilevel"/>
    <w:tmpl w:val="7EDA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457B02"/>
    <w:multiLevelType w:val="multilevel"/>
    <w:tmpl w:val="BA2A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B5922"/>
    <w:multiLevelType w:val="hybridMultilevel"/>
    <w:tmpl w:val="DDC09062"/>
    <w:lvl w:ilvl="0" w:tplc="0C090017">
      <w:start w:val="1"/>
      <w:numFmt w:val="lowerLetter"/>
      <w:lvlText w:val="%1)"/>
      <w:lvlJc w:val="left"/>
      <w:pPr>
        <w:ind w:left="1800" w:hanging="360"/>
      </w:pPr>
    </w:lvl>
    <w:lvl w:ilvl="1" w:tplc="931039C2">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3DE7135A"/>
    <w:multiLevelType w:val="multilevel"/>
    <w:tmpl w:val="3A5E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33DD9"/>
    <w:multiLevelType w:val="hybridMultilevel"/>
    <w:tmpl w:val="47F02E6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0" w15:restartNumberingAfterBreak="0">
    <w:nsid w:val="4CF2338D"/>
    <w:multiLevelType w:val="hybridMultilevel"/>
    <w:tmpl w:val="ED80F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7B3E2E"/>
    <w:multiLevelType w:val="hybridMultilevel"/>
    <w:tmpl w:val="D9007EC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50E17BE7"/>
    <w:multiLevelType w:val="multilevel"/>
    <w:tmpl w:val="63C4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4F0D1B"/>
    <w:multiLevelType w:val="hybridMultilevel"/>
    <w:tmpl w:val="E402AFD2"/>
    <w:lvl w:ilvl="0" w:tplc="0809000F">
      <w:start w:val="1"/>
      <w:numFmt w:val="decimal"/>
      <w:lvlText w:val="%1."/>
      <w:lvlJc w:val="left"/>
      <w:pPr>
        <w:ind w:left="720" w:hanging="360"/>
      </w:pPr>
    </w:lvl>
    <w:lvl w:ilvl="1" w:tplc="B052C3A2">
      <w:start w:val="1"/>
      <w:numFmt w:val="decimal"/>
      <w:lvlText w:val="%2.0"/>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E33C8D"/>
    <w:multiLevelType w:val="hybridMultilevel"/>
    <w:tmpl w:val="47F02E6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5" w15:restartNumberingAfterBreak="0">
    <w:nsid w:val="5E890910"/>
    <w:multiLevelType w:val="multilevel"/>
    <w:tmpl w:val="EC2C0CF6"/>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E9E2B2E"/>
    <w:multiLevelType w:val="multilevel"/>
    <w:tmpl w:val="5EB6D74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7" w15:restartNumberingAfterBreak="0">
    <w:nsid w:val="64ED18C5"/>
    <w:multiLevelType w:val="hybridMultilevel"/>
    <w:tmpl w:val="EEE8DCE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65A5467"/>
    <w:multiLevelType w:val="multilevel"/>
    <w:tmpl w:val="78AC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B542C5"/>
    <w:multiLevelType w:val="multilevel"/>
    <w:tmpl w:val="8A78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A711E"/>
    <w:multiLevelType w:val="hybridMultilevel"/>
    <w:tmpl w:val="BF583E6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EA17131"/>
    <w:multiLevelType w:val="hybridMultilevel"/>
    <w:tmpl w:val="484AA76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F167D75"/>
    <w:multiLevelType w:val="multilevel"/>
    <w:tmpl w:val="77489C7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72504466"/>
    <w:multiLevelType w:val="hybridMultilevel"/>
    <w:tmpl w:val="BDC6F3C4"/>
    <w:lvl w:ilvl="0" w:tplc="43B264AE">
      <w:start w:val="1"/>
      <w:numFmt w:val="decimal"/>
      <w:lvlText w:val="%1."/>
      <w:lvlJc w:val="left"/>
      <w:pPr>
        <w:ind w:left="1137" w:hanging="42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4" w15:restartNumberingAfterBreak="0">
    <w:nsid w:val="7A5B58A6"/>
    <w:multiLevelType w:val="hybridMultilevel"/>
    <w:tmpl w:val="D95C40EA"/>
    <w:lvl w:ilvl="0" w:tplc="5D641B2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D13C5"/>
    <w:multiLevelType w:val="hybridMultilevel"/>
    <w:tmpl w:val="74B4978A"/>
    <w:lvl w:ilvl="0" w:tplc="94D65572">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6A0443"/>
    <w:multiLevelType w:val="hybridMultilevel"/>
    <w:tmpl w:val="356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199425">
    <w:abstractNumId w:val="35"/>
  </w:num>
  <w:num w:numId="2" w16cid:durableId="1166285176">
    <w:abstractNumId w:val="12"/>
  </w:num>
  <w:num w:numId="3" w16cid:durableId="517741178">
    <w:abstractNumId w:val="1"/>
  </w:num>
  <w:num w:numId="4" w16cid:durableId="1114596967">
    <w:abstractNumId w:val="23"/>
  </w:num>
  <w:num w:numId="5" w16cid:durableId="1959795578">
    <w:abstractNumId w:val="25"/>
  </w:num>
  <w:num w:numId="6" w16cid:durableId="23210667">
    <w:abstractNumId w:val="4"/>
  </w:num>
  <w:num w:numId="7" w16cid:durableId="1564021755">
    <w:abstractNumId w:val="8"/>
  </w:num>
  <w:num w:numId="8" w16cid:durableId="1053314427">
    <w:abstractNumId w:val="24"/>
  </w:num>
  <w:num w:numId="9" w16cid:durableId="1650161335">
    <w:abstractNumId w:val="9"/>
  </w:num>
  <w:num w:numId="10" w16cid:durableId="880676101">
    <w:abstractNumId w:val="5"/>
  </w:num>
  <w:num w:numId="11" w16cid:durableId="2055352451">
    <w:abstractNumId w:val="30"/>
  </w:num>
  <w:num w:numId="12" w16cid:durableId="258834426">
    <w:abstractNumId w:val="27"/>
  </w:num>
  <w:num w:numId="13" w16cid:durableId="413674251">
    <w:abstractNumId w:val="11"/>
  </w:num>
  <w:num w:numId="14" w16cid:durableId="1498419459">
    <w:abstractNumId w:val="14"/>
  </w:num>
  <w:num w:numId="15" w16cid:durableId="733284234">
    <w:abstractNumId w:val="2"/>
  </w:num>
  <w:num w:numId="16" w16cid:durableId="1524130585">
    <w:abstractNumId w:val="34"/>
  </w:num>
  <w:num w:numId="17" w16cid:durableId="1511336637">
    <w:abstractNumId w:val="20"/>
  </w:num>
  <w:num w:numId="18" w16cid:durableId="342322300">
    <w:abstractNumId w:val="6"/>
  </w:num>
  <w:num w:numId="19" w16cid:durableId="361782864">
    <w:abstractNumId w:val="17"/>
  </w:num>
  <w:num w:numId="20" w16cid:durableId="2119637966">
    <w:abstractNumId w:val="19"/>
  </w:num>
  <w:num w:numId="21" w16cid:durableId="889851098">
    <w:abstractNumId w:val="31"/>
  </w:num>
  <w:num w:numId="22" w16cid:durableId="2127114355">
    <w:abstractNumId w:val="3"/>
  </w:num>
  <w:num w:numId="23" w16cid:durableId="1279996054">
    <w:abstractNumId w:val="13"/>
  </w:num>
  <w:num w:numId="24" w16cid:durableId="1444153796">
    <w:abstractNumId w:val="21"/>
  </w:num>
  <w:num w:numId="25" w16cid:durableId="1550150509">
    <w:abstractNumId w:val="33"/>
  </w:num>
  <w:num w:numId="26" w16cid:durableId="184170966">
    <w:abstractNumId w:val="10"/>
  </w:num>
  <w:num w:numId="27" w16cid:durableId="551506503">
    <w:abstractNumId w:val="18"/>
  </w:num>
  <w:num w:numId="28" w16cid:durableId="2143885272">
    <w:abstractNumId w:val="32"/>
  </w:num>
  <w:num w:numId="29" w16cid:durableId="906915068">
    <w:abstractNumId w:val="26"/>
  </w:num>
  <w:num w:numId="30" w16cid:durableId="357584891">
    <w:abstractNumId w:val="22"/>
  </w:num>
  <w:num w:numId="31" w16cid:durableId="1382560630">
    <w:abstractNumId w:val="36"/>
  </w:num>
  <w:num w:numId="32" w16cid:durableId="1827503602">
    <w:abstractNumId w:val="29"/>
  </w:num>
  <w:num w:numId="33" w16cid:durableId="1719432603">
    <w:abstractNumId w:val="7"/>
  </w:num>
  <w:num w:numId="34" w16cid:durableId="2045396871">
    <w:abstractNumId w:val="0"/>
  </w:num>
  <w:num w:numId="35" w16cid:durableId="2080789096">
    <w:abstractNumId w:val="16"/>
  </w:num>
  <w:num w:numId="36" w16cid:durableId="1389525413">
    <w:abstractNumId w:val="15"/>
  </w:num>
  <w:num w:numId="37" w16cid:durableId="1882521877">
    <w:abstractNumId w:val="28"/>
  </w:num>
  <w:num w:numId="38" w16cid:durableId="568002466">
    <w:abstractNumId w:val="10"/>
  </w:num>
  <w:num w:numId="39" w16cid:durableId="20331478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9A"/>
    <w:rsid w:val="000151D4"/>
    <w:rsid w:val="000160ED"/>
    <w:rsid w:val="00056233"/>
    <w:rsid w:val="00093EF9"/>
    <w:rsid w:val="000B6E17"/>
    <w:rsid w:val="00141F3E"/>
    <w:rsid w:val="00173F8D"/>
    <w:rsid w:val="001850ED"/>
    <w:rsid w:val="0019786D"/>
    <w:rsid w:val="001A3346"/>
    <w:rsid w:val="001B639C"/>
    <w:rsid w:val="00220915"/>
    <w:rsid w:val="002C2D28"/>
    <w:rsid w:val="002C392F"/>
    <w:rsid w:val="00351FE2"/>
    <w:rsid w:val="00370FE4"/>
    <w:rsid w:val="0039677C"/>
    <w:rsid w:val="003A1148"/>
    <w:rsid w:val="003A78B0"/>
    <w:rsid w:val="003F20BC"/>
    <w:rsid w:val="0041552D"/>
    <w:rsid w:val="00416A96"/>
    <w:rsid w:val="00420D56"/>
    <w:rsid w:val="00494AE8"/>
    <w:rsid w:val="004B27EF"/>
    <w:rsid w:val="004D19A0"/>
    <w:rsid w:val="004E3E32"/>
    <w:rsid w:val="005304CC"/>
    <w:rsid w:val="00532712"/>
    <w:rsid w:val="00541540"/>
    <w:rsid w:val="0054476D"/>
    <w:rsid w:val="005702AA"/>
    <w:rsid w:val="005D0947"/>
    <w:rsid w:val="005D1EDB"/>
    <w:rsid w:val="00624B92"/>
    <w:rsid w:val="00651ABC"/>
    <w:rsid w:val="006815EE"/>
    <w:rsid w:val="0069025D"/>
    <w:rsid w:val="006A4374"/>
    <w:rsid w:val="006B6F3F"/>
    <w:rsid w:val="007A371D"/>
    <w:rsid w:val="007B1355"/>
    <w:rsid w:val="007D0FDC"/>
    <w:rsid w:val="007E7EEB"/>
    <w:rsid w:val="00830D2C"/>
    <w:rsid w:val="008511F4"/>
    <w:rsid w:val="00873081"/>
    <w:rsid w:val="008A33CD"/>
    <w:rsid w:val="008E5770"/>
    <w:rsid w:val="00901B56"/>
    <w:rsid w:val="00906037"/>
    <w:rsid w:val="0091405F"/>
    <w:rsid w:val="0096439A"/>
    <w:rsid w:val="00990E15"/>
    <w:rsid w:val="009A0A5F"/>
    <w:rsid w:val="009E3289"/>
    <w:rsid w:val="00A16A63"/>
    <w:rsid w:val="00A90783"/>
    <w:rsid w:val="00A943C3"/>
    <w:rsid w:val="00AB158F"/>
    <w:rsid w:val="00AD7131"/>
    <w:rsid w:val="00AE33DE"/>
    <w:rsid w:val="00AF439D"/>
    <w:rsid w:val="00B05D9F"/>
    <w:rsid w:val="00B305BB"/>
    <w:rsid w:val="00B379B7"/>
    <w:rsid w:val="00B57550"/>
    <w:rsid w:val="00BD1079"/>
    <w:rsid w:val="00C524AC"/>
    <w:rsid w:val="00C550F6"/>
    <w:rsid w:val="00C86D18"/>
    <w:rsid w:val="00CB0A5F"/>
    <w:rsid w:val="00CD418C"/>
    <w:rsid w:val="00D66CE5"/>
    <w:rsid w:val="00D86DF9"/>
    <w:rsid w:val="00DD18C7"/>
    <w:rsid w:val="00DE0505"/>
    <w:rsid w:val="00DF049C"/>
    <w:rsid w:val="00E37485"/>
    <w:rsid w:val="00E4745B"/>
    <w:rsid w:val="00E53D7B"/>
    <w:rsid w:val="00E559E7"/>
    <w:rsid w:val="00E8196B"/>
    <w:rsid w:val="00E922CC"/>
    <w:rsid w:val="00EC32E7"/>
    <w:rsid w:val="00F11FB3"/>
    <w:rsid w:val="00F1283A"/>
    <w:rsid w:val="00F30146"/>
    <w:rsid w:val="00FA1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137C8"/>
  <w15:chartTrackingRefBased/>
  <w15:docId w15:val="{96ECB009-7D21-4AB4-9E2C-59E3E767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B6E17"/>
    <w:pPr>
      <w:numPr>
        <w:numId w:val="5"/>
      </w:numPr>
      <w:ind w:left="567" w:hanging="573"/>
      <w:outlineLvl w:val="0"/>
    </w:pPr>
    <w:rPr>
      <w:color w:val="017DC3"/>
      <w:sz w:val="28"/>
      <w:szCs w:val="28"/>
    </w:rPr>
  </w:style>
  <w:style w:type="paragraph" w:styleId="Heading2">
    <w:name w:val="heading 2"/>
    <w:basedOn w:val="ListParagraph"/>
    <w:next w:val="Normal"/>
    <w:link w:val="Heading2Char"/>
    <w:uiPriority w:val="9"/>
    <w:unhideWhenUsed/>
    <w:qFormat/>
    <w:rsid w:val="000B6E17"/>
    <w:pPr>
      <w:numPr>
        <w:ilvl w:val="1"/>
        <w:numId w:val="5"/>
      </w:numPr>
      <w:outlineLvl w:val="1"/>
    </w:pPr>
    <w:rPr>
      <w:color w:val="017DC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E17"/>
    <w:rPr>
      <w:color w:val="017DC3"/>
      <w:sz w:val="28"/>
      <w:szCs w:val="28"/>
    </w:rPr>
  </w:style>
  <w:style w:type="paragraph" w:styleId="Title">
    <w:name w:val="Title"/>
    <w:basedOn w:val="Normal"/>
    <w:next w:val="Normal"/>
    <w:link w:val="TitleChar"/>
    <w:uiPriority w:val="10"/>
    <w:qFormat/>
    <w:rsid w:val="004E3E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E3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4E3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3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E32"/>
  </w:style>
  <w:style w:type="paragraph" w:styleId="Footer">
    <w:name w:val="footer"/>
    <w:basedOn w:val="Normal"/>
    <w:link w:val="FooterChar"/>
    <w:uiPriority w:val="99"/>
    <w:unhideWhenUsed/>
    <w:rsid w:val="004E3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E32"/>
  </w:style>
  <w:style w:type="character" w:customStyle="1" w:styleId="Heading2Char">
    <w:name w:val="Heading 2 Char"/>
    <w:basedOn w:val="DefaultParagraphFont"/>
    <w:link w:val="Heading2"/>
    <w:uiPriority w:val="9"/>
    <w:rsid w:val="000B6E17"/>
    <w:rPr>
      <w:color w:val="017DC3"/>
      <w:sz w:val="24"/>
    </w:rPr>
  </w:style>
  <w:style w:type="character" w:styleId="Strong">
    <w:name w:val="Strong"/>
    <w:basedOn w:val="DefaultParagraphFont"/>
    <w:uiPriority w:val="22"/>
    <w:qFormat/>
    <w:rsid w:val="000B6E17"/>
    <w:rPr>
      <w:b/>
      <w:bCs/>
    </w:rPr>
  </w:style>
  <w:style w:type="paragraph" w:styleId="ListParagraph">
    <w:name w:val="List Paragraph"/>
    <w:basedOn w:val="Normal"/>
    <w:uiPriority w:val="34"/>
    <w:qFormat/>
    <w:rsid w:val="000B6E17"/>
    <w:pPr>
      <w:ind w:left="720"/>
      <w:contextualSpacing/>
    </w:pPr>
  </w:style>
  <w:style w:type="character" w:styleId="Emphasis">
    <w:name w:val="Emphasis"/>
    <w:basedOn w:val="DefaultParagraphFont"/>
    <w:uiPriority w:val="20"/>
    <w:qFormat/>
    <w:rsid w:val="00420D56"/>
    <w:rPr>
      <w:i/>
      <w:iCs/>
    </w:rPr>
  </w:style>
  <w:style w:type="paragraph" w:styleId="BalloonText">
    <w:name w:val="Balloon Text"/>
    <w:basedOn w:val="Normal"/>
    <w:link w:val="BalloonTextChar"/>
    <w:uiPriority w:val="99"/>
    <w:semiHidden/>
    <w:unhideWhenUsed/>
    <w:rsid w:val="00A16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A63"/>
    <w:rPr>
      <w:rFonts w:ascii="Segoe UI" w:hAnsi="Segoe UI" w:cs="Segoe UI"/>
      <w:sz w:val="18"/>
      <w:szCs w:val="18"/>
    </w:rPr>
  </w:style>
  <w:style w:type="paragraph" w:customStyle="1" w:styleId="Default">
    <w:name w:val="Default"/>
    <w:rsid w:val="00093EF9"/>
    <w:pPr>
      <w:autoSpaceDE w:val="0"/>
      <w:autoSpaceDN w:val="0"/>
      <w:adjustRightInd w:val="0"/>
      <w:spacing w:after="0" w:line="240" w:lineRule="auto"/>
    </w:pPr>
    <w:rPr>
      <w:rFonts w:ascii="Arvo" w:hAnsi="Arvo" w:cs="Arvo"/>
      <w:color w:val="000000"/>
      <w:sz w:val="24"/>
      <w:szCs w:val="24"/>
      <w:lang w:val="en-AU" w:eastAsia="en-AU"/>
    </w:rPr>
  </w:style>
  <w:style w:type="paragraph" w:customStyle="1" w:styleId="Pa4">
    <w:name w:val="Pa4"/>
    <w:basedOn w:val="Default"/>
    <w:next w:val="Default"/>
    <w:uiPriority w:val="99"/>
    <w:rsid w:val="00093EF9"/>
    <w:pPr>
      <w:spacing w:line="221" w:lineRule="atLeast"/>
    </w:pPr>
    <w:rPr>
      <w:rFonts w:cstheme="minorBidi"/>
      <w:color w:val="auto"/>
    </w:rPr>
  </w:style>
  <w:style w:type="paragraph" w:customStyle="1" w:styleId="Pa11">
    <w:name w:val="Pa11"/>
    <w:basedOn w:val="Default"/>
    <w:next w:val="Default"/>
    <w:uiPriority w:val="99"/>
    <w:rsid w:val="00093EF9"/>
    <w:pPr>
      <w:spacing w:line="221" w:lineRule="atLeast"/>
    </w:pPr>
    <w:rPr>
      <w:rFonts w:cstheme="minorBidi"/>
      <w:color w:val="auto"/>
    </w:rPr>
  </w:style>
  <w:style w:type="paragraph" w:customStyle="1" w:styleId="Pa15">
    <w:name w:val="Pa15"/>
    <w:basedOn w:val="Default"/>
    <w:next w:val="Default"/>
    <w:uiPriority w:val="99"/>
    <w:rsid w:val="00093EF9"/>
    <w:pPr>
      <w:spacing w:line="201" w:lineRule="atLeast"/>
    </w:pPr>
    <w:rPr>
      <w:rFonts w:ascii="Akkurat Light" w:hAnsi="Akkurat Light" w:cstheme="minorBidi"/>
      <w:color w:val="auto"/>
    </w:rPr>
  </w:style>
  <w:style w:type="character" w:styleId="Hyperlink">
    <w:name w:val="Hyperlink"/>
    <w:basedOn w:val="DefaultParagraphFont"/>
    <w:uiPriority w:val="99"/>
    <w:unhideWhenUsed/>
    <w:rsid w:val="00093EF9"/>
    <w:rPr>
      <w:color w:val="0563C1" w:themeColor="hyperlink"/>
      <w:u w:val="single"/>
    </w:rPr>
  </w:style>
  <w:style w:type="character" w:styleId="CommentReference">
    <w:name w:val="annotation reference"/>
    <w:basedOn w:val="DefaultParagraphFont"/>
    <w:uiPriority w:val="99"/>
    <w:semiHidden/>
    <w:unhideWhenUsed/>
    <w:rsid w:val="00093EF9"/>
    <w:rPr>
      <w:sz w:val="16"/>
      <w:szCs w:val="16"/>
    </w:rPr>
  </w:style>
  <w:style w:type="paragraph" w:styleId="CommentText">
    <w:name w:val="annotation text"/>
    <w:basedOn w:val="Normal"/>
    <w:link w:val="CommentTextChar"/>
    <w:uiPriority w:val="99"/>
    <w:unhideWhenUsed/>
    <w:rsid w:val="00093EF9"/>
    <w:pPr>
      <w:spacing w:after="200" w:line="240" w:lineRule="auto"/>
    </w:pPr>
    <w:rPr>
      <w:sz w:val="20"/>
      <w:szCs w:val="20"/>
      <w:lang w:val="en-AU" w:eastAsia="en-AU"/>
    </w:rPr>
  </w:style>
  <w:style w:type="character" w:customStyle="1" w:styleId="CommentTextChar">
    <w:name w:val="Comment Text Char"/>
    <w:basedOn w:val="DefaultParagraphFont"/>
    <w:link w:val="CommentText"/>
    <w:uiPriority w:val="99"/>
    <w:rsid w:val="00093EF9"/>
    <w:rPr>
      <w:sz w:val="20"/>
      <w:szCs w:val="20"/>
      <w:lang w:val="en-AU" w:eastAsia="en-AU"/>
    </w:rPr>
  </w:style>
  <w:style w:type="paragraph" w:styleId="CommentSubject">
    <w:name w:val="annotation subject"/>
    <w:basedOn w:val="CommentText"/>
    <w:next w:val="CommentText"/>
    <w:link w:val="CommentSubjectChar"/>
    <w:uiPriority w:val="99"/>
    <w:semiHidden/>
    <w:unhideWhenUsed/>
    <w:rsid w:val="00CB0A5F"/>
    <w:pPr>
      <w:spacing w:after="160"/>
    </w:pPr>
    <w:rPr>
      <w:b/>
      <w:bCs/>
      <w:lang w:val="en-GB" w:eastAsia="en-US"/>
    </w:rPr>
  </w:style>
  <w:style w:type="character" w:customStyle="1" w:styleId="CommentSubjectChar">
    <w:name w:val="Comment Subject Char"/>
    <w:basedOn w:val="CommentTextChar"/>
    <w:link w:val="CommentSubject"/>
    <w:uiPriority w:val="99"/>
    <w:semiHidden/>
    <w:rsid w:val="00CB0A5F"/>
    <w:rPr>
      <w:b/>
      <w:bCs/>
      <w:sz w:val="20"/>
      <w:szCs w:val="20"/>
      <w:lang w:val="en-AU" w:eastAsia="en-AU"/>
    </w:rPr>
  </w:style>
  <w:style w:type="paragraph" w:customStyle="1" w:styleId="StyleCalibriBoldBlueJustified">
    <w:name w:val="Style Calibri Bold Blue Justified"/>
    <w:basedOn w:val="Normal"/>
    <w:rsid w:val="00351FE2"/>
    <w:pPr>
      <w:numPr>
        <w:numId w:val="26"/>
      </w:numPr>
      <w:spacing w:after="240" w:line="240" w:lineRule="auto"/>
      <w:jc w:val="both"/>
    </w:pPr>
    <w:rPr>
      <w:rFonts w:ascii="Calibri" w:eastAsia="Times New Roman" w:hAnsi="Calibri" w:cs="Times New Roman"/>
      <w:b/>
      <w:bCs/>
      <w:color w:val="0070C0"/>
      <w:szCs w:val="20"/>
      <w:lang w:val="en-AU"/>
    </w:rPr>
  </w:style>
  <w:style w:type="character" w:styleId="UnresolvedMention">
    <w:name w:val="Unresolved Mention"/>
    <w:basedOn w:val="DefaultParagraphFont"/>
    <w:uiPriority w:val="99"/>
    <w:semiHidden/>
    <w:unhideWhenUsed/>
    <w:rsid w:val="00FA154E"/>
    <w:rPr>
      <w:color w:val="605E5C"/>
      <w:shd w:val="clear" w:color="auto" w:fill="E1DFDD"/>
    </w:rPr>
  </w:style>
  <w:style w:type="paragraph" w:styleId="NormalWeb">
    <w:name w:val="Normal (Web)"/>
    <w:basedOn w:val="Normal"/>
    <w:uiPriority w:val="99"/>
    <w:semiHidden/>
    <w:unhideWhenUsed/>
    <w:rsid w:val="00C524A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imovaudit.com/blog-posts/digital-copies-of-tax-records-instead-of-pape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imovaudit.com/blog-posts/what-is-the-7-year-audit-requir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s.gov/retirement-plans/individual-retirement-arrangements-ir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rs.gov/forms-pubs/about-form-w-2" TargetMode="External"/><Relationship Id="rId4" Type="http://schemas.openxmlformats.org/officeDocument/2006/relationships/webSettings" Target="webSettings.xml"/><Relationship Id="rId9" Type="http://schemas.openxmlformats.org/officeDocument/2006/relationships/hyperlink" Target="https://www.irs.gov/forms-pubs/about-form-1099-mis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Campbell</dc:creator>
  <cp:keywords/>
  <dc:description/>
  <cp:lastModifiedBy>Melody Amato</cp:lastModifiedBy>
  <cp:revision>2</cp:revision>
  <cp:lastPrinted>2020-01-19T23:51:00Z</cp:lastPrinted>
  <dcterms:created xsi:type="dcterms:W3CDTF">2025-12-17T00:49:00Z</dcterms:created>
  <dcterms:modified xsi:type="dcterms:W3CDTF">2025-12-17T00:49:00Z</dcterms:modified>
</cp:coreProperties>
</file>